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WILLIAMS DEWAYNE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19350 STATE HIGHWAY 249, SUITE 600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NCS Multistage Holdings, Inc.</w:t>
              </w:r>
            </w:hyperlink>
            <w:r>
              <w:rPr/>
              <w:t xml:space="preserve"> [ </w:t>
            </w:r>
            <w:r>
              <w:rPr>
                <w:rFonts w:ascii="Times;serif" w:hAnsi="Times;serif"/>
                <w:color w:val="0000FF"/>
                <w:sz w:val="24"/>
                <w:shd w:fill="FFFFFF" w:val="clear"/>
              </w:rPr>
              <w:t>NCSM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Vice President and Controller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3,061</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44"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0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Equivalent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2,653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2,653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Equivalent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Equivalent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1,367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that certain Agreement and Plan of Merger ("Merger Agreement"), dated May 31, 2026, by and among Weatherford International plc ("Parent"), Trinity Bell Sub, Inc. and NCS Multistage Holdings, Inc. (the "Company"), immediately prior to the effective time of the transactions contemplated thereby (the "Effective Time"), each share of the Company's common stock, par value $0.01 per share ("Common Stock"), was canceled and converted into the right to receive, at the Reporting Person's election: (i) 0.5537 ordinary shares, par value $0.001 per share, of Parent ("Parent Ordinary Shares"); or (ii) a combination of (A) cash in an amount equal to the product of (x) 0.1371 and (y) the closing price for the Parent Ordinary Shares on the Nasdaq Global Select Market on August 31, 2026, subject to a maximum cash election amount; and (B) 0.2392 Parent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Merger Agreement, at the Effective Time, Parent assumed each outstanding equivalent stock unit award of the Company (each, an "Assumed ESU") representing the right to receive a cash payment based on the fair market value of the shares of Common Stock, generally subject to the same terms and conditions as the Assumed ESU immediately prior to the Effective Time, except (i) the maximum value cap of each Assumed ESU in effect immediately prior to the Effective Time ceased to apply and (ii) each Assumed ESU was converted into an award covering a number of Parent Ordinary Shares equal to the product of (A) the number of shares of Common Stock subject to the Assumed ESU immediately prior to the Effective Time, multiplied by (B) 0.5537, rounded down to the nearest whole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certain Assumed ESUs which were scheduled to vest on February 28,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certain Assumed ESUs which were scheduled to vest in two equal annual installments beginning on February 28,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certain Assumed ESUs which were scheduled to vest in three equal annual installments beginning on February 28,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Ori Lev,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64457" TargetMode="External"/><Relationship Id="rId5" Type="http://schemas.openxmlformats.org/officeDocument/2006/relationships/hyperlink" Target="http://www.sec.gov/cgi-bin/browse-edgar?action=getcompany&amp;CIK=00016924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941</Words>
  <Characters>4990</Characters>
  <CharactersWithSpaces>5824</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