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Nipper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65" w:lineRule="auto"/>
        <w:rPr>
          <w:sz w:val="20"/>
          <w:szCs w:val="20"/>
          <w:color w:val="auto"/>
        </w:rPr>
      </w:pPr>
      <w:r>
        <w:rPr>
          <w:rFonts w:ascii="Times New Roman" w:cs="Times New Roman" w:eastAsia="Times New Roman" w:hAnsi="Times New Roman"/>
          <w:sz w:val="17"/>
          <w:szCs w:val="17"/>
          <w:color w:val="0000FF"/>
        </w:rPr>
        <w:t>C/O NCS MULTISTAGE HOLDINGS, INC. 19350 STATE HIGHWAY 249, SUITE 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77070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NCS Multistage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NCSM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03/03/2026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3,221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3"/>
          </w:tcPr>
          <w:p>
            <w:pPr>
              <w:jc w:val="center"/>
              <w:ind w:right="260"/>
              <w:spacing w:after="0"/>
              <w:rPr>
                <w:sz w:val="20"/>
                <w:szCs w:val="20"/>
                <w:color w:val="auto"/>
              </w:rPr>
            </w:pPr>
            <w:r>
              <w:rPr>
                <w:rFonts w:ascii="Times New Roman" w:cs="Times New Roman" w:eastAsia="Times New Roman" w:hAnsi="Times New Roman"/>
                <w:sz w:val="17"/>
                <w:szCs w:val="17"/>
                <w:color w:val="0000FF"/>
              </w:rPr>
              <w:t>36,676</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0000FF"/>
              </w:rPr>
              <w:t>88,596</w:t>
            </w:r>
          </w:p>
        </w:tc>
        <w:tc>
          <w:tcPr>
            <w:tcW w:w="5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18"/>
                <w:szCs w:val="18"/>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3,221 restricted stock units which vest and settle on February 28, 2027.</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the Nipper Family Limited Partnership, a limited partnership of which the Reporting Person is the trustee of the sole general partner, Nipper Family Management Trust. The Reporting Person disclaims beneficial ownership of the Issuer's securities held by the Nipper Family Limited Partnership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Ori Lev, attorney-in-fact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1187" TargetMode="External"/><Relationship Id="rId14" Type="http://schemas.openxmlformats.org/officeDocument/2006/relationships/hyperlink" Target="http://www.sec.gov/cgi-bin/browse-edgar?action=getcompany&amp;CIK=00016924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2026-03-03T16:31:13Z</dcterms:created>
  <dcterms:modified xsi:type="dcterms:W3CDTF">2026-03-03T16:31:13Z</dcterms:modified>
</cp:coreProperties>
</file>