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Grewal Gurinder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("Merger Agreement"), dated May 31, 2026, by and among Weatherford International plc ("Parent"), Trinity Bell Sub, Inc. and NCS Multistage Holdings, Inc. (the "Company"), immediately prior to the effective time of the transactions contemplated thereby (the "Effective Time"), each share of the Company's common stock, par value $0.01 per share ("Common Stock"), was canceled and converted into the right to receive, at the Reporting Person's election: (i) 0.5537 ordinary shares, par value $0.001 per share, of Parent ("Parent Ordinary Shares"); or (ii) a combination of (A) cash in an amount equal to the product of (x) 0.1371 and (y) the closing price for the Parent Ordinary Shares on the Nasdaq Global Select Market on August 31, 2026, subject to a maximum cash election amount; and (B) 0.2392 Parent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5567"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3793</Characters>
  <CharactersWithSpaces>4429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