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Mitchell Valerie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65" w:lineRule="auto"/>
        <w:rPr>
          <w:sz w:val="20"/>
          <w:szCs w:val="20"/>
          <w:color w:val="auto"/>
        </w:rPr>
      </w:pPr>
      <w:r>
        <w:rPr>
          <w:rFonts w:ascii="Times New Roman" w:cs="Times New Roman" w:eastAsia="Times New Roman" w:hAnsi="Times New Roman"/>
          <w:sz w:val="17"/>
          <w:szCs w:val="17"/>
          <w:color w:val="0000FF"/>
        </w:rPr>
        <w:t>C/O NCS MULTISTAGE HOLDINGS, INC. 19350 STATE HIGHWAY 249, SUITE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NCS Multistage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NCSM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08/04/2025</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548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30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25,520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1,969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23,551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$30.00 to $30.44.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(3)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4,339 restricted stock units which vest and settle on February 28, 2026 and 19,212 vested restricted stock units which settle within thirty days following the earlier of (i) the termination of the Reporting Person's service for any reason or (ii) a change of control.</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$30.00 to $30.69.</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Ori Lev, attorney-in-fact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53" TargetMode="External"/><Relationship Id="rId14"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2025-08-05T16:36:06Z</dcterms:created>
  <dcterms:modified xsi:type="dcterms:W3CDTF">2025-08-05T16:36:06Z</dcterms:modified>
</cp:coreProperties>
</file>