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408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89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Nipper Robert</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NCS MULTISTAGE HOLDINGS,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19450 STATE HIGHWAY 249, SUITE 200</w:t>
      </w:r>
    </w:p>
    <w:p>
      <w:pPr>
        <w:spacing w:after="0" w:line="304"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77070</w:t>
            </w:r>
          </w:p>
        </w:tc>
      </w:tr>
      <w:tr>
        <w:trPr>
          <w:trHeight w:val="154"/>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900" w:type="dxa"/>
            <w:vAlign w:val="bottom"/>
            <w:gridSpan w:val="3"/>
          </w:tcPr>
          <w:p>
            <w:pPr>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NCS Multistage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NCSM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52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700" w:type="dxa"/>
            <w:vAlign w:val="bottom"/>
            <w:gridSpan w:val="3"/>
          </w:tcPr>
          <w:p>
            <w:pPr>
              <w:ind w:left="60"/>
              <w:spacing w:after="0"/>
              <w:rPr>
                <w:sz w:val="20"/>
                <w:szCs w:val="20"/>
                <w:color w:val="auto"/>
              </w:rPr>
            </w:pPr>
            <w:r>
              <w:rPr>
                <w:rFonts w:ascii="Arial" w:cs="Arial" w:eastAsia="Arial" w:hAnsi="Arial"/>
                <w:sz w:val="17"/>
                <w:szCs w:val="17"/>
                <w:color w:val="0000FF"/>
              </w:rPr>
              <w:t>03/01/2018</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2"/>
          </w:tcPr>
          <w:p>
            <w:pPr>
              <w:ind w:left="40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2"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00" w:type="dxa"/>
            <w:vAlign w:val="bottom"/>
          </w:tcPr>
          <w:p>
            <w:pPr>
              <w:spacing w:after="0"/>
              <w:rPr>
                <w:sz w:val="13"/>
                <w:szCs w:val="13"/>
                <w:color w:val="auto"/>
              </w:rPr>
            </w:pPr>
          </w:p>
        </w:tc>
        <w:tc>
          <w:tcPr>
            <w:tcW w:w="11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1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00" w:type="dxa"/>
            <w:vAlign w:val="bottom"/>
          </w:tcPr>
          <w:p>
            <w:pPr>
              <w:spacing w:after="0"/>
              <w:rPr>
                <w:sz w:val="11"/>
                <w:szCs w:val="11"/>
                <w:color w:val="auto"/>
              </w:rPr>
            </w:pPr>
          </w:p>
        </w:tc>
        <w:tc>
          <w:tcPr>
            <w:tcW w:w="11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7"/>
              </w:rPr>
              <w:t>(Instr. 3 and 4)</w:t>
            </w: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03/01/2018</w:t>
            </w: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50,017</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rPr>
              <w:t>235,267</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ind w:left="520"/>
              <w:spacing w:after="0"/>
              <w:rPr>
                <w:sz w:val="20"/>
                <w:szCs w:val="20"/>
                <w:color w:val="auto"/>
              </w:rPr>
            </w:pPr>
            <w:r>
              <w:rPr>
                <w:rFonts w:ascii="Arial" w:cs="Arial" w:eastAsia="Arial" w:hAnsi="Arial"/>
                <w:sz w:val="17"/>
                <w:szCs w:val="17"/>
                <w:color w:val="0000FF"/>
              </w:rPr>
              <w:t>D</w:t>
            </w: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By 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center"/>
              <w:spacing w:after="0" w:line="212" w:lineRule="exact"/>
              <w:rPr>
                <w:sz w:val="20"/>
                <w:szCs w:val="20"/>
                <w:color w:val="auto"/>
              </w:rPr>
            </w:pPr>
            <w:r>
              <w:rPr>
                <w:rFonts w:ascii="Arial" w:cs="Arial" w:eastAsia="Arial" w:hAnsi="Arial"/>
                <w:sz w:val="17"/>
                <w:szCs w:val="17"/>
                <w:color w:val="0000FF"/>
                <w:w w:val="98"/>
              </w:rPr>
              <w:t>1,771,926</w:t>
            </w:r>
            <w:r>
              <w:rPr>
                <w:rFonts w:ascii="Arial" w:cs="Arial" w:eastAsia="Arial" w:hAnsi="Arial"/>
                <w:sz w:val="22"/>
                <w:szCs w:val="22"/>
                <w:color w:val="008000"/>
                <w:w w:val="98"/>
                <w:vertAlign w:val="superscript"/>
              </w:rPr>
              <w:t>(2)</w:t>
            </w:r>
          </w:p>
        </w:tc>
        <w:tc>
          <w:tcPr>
            <w:tcW w:w="700" w:type="dxa"/>
            <w:vAlign w:val="bottom"/>
          </w:tcPr>
          <w:p>
            <w:pPr>
              <w:ind w:left="560"/>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321"/>
        </w:trPr>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0000FF"/>
              </w:rPr>
              <w:t>Partnership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60" w:type="dxa"/>
            <w:vAlign w:val="bottom"/>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2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1120" w:type="dxa"/>
            <w:vAlign w:val="bottom"/>
          </w:tcPr>
          <w:p>
            <w:pPr>
              <w:ind w:left="260"/>
              <w:spacing w:after="0"/>
              <w:rPr>
                <w:sz w:val="20"/>
                <w:szCs w:val="20"/>
                <w:color w:val="auto"/>
              </w:rPr>
            </w:pPr>
            <w:r>
              <w:rPr>
                <w:rFonts w:ascii="Arial" w:cs="Arial" w:eastAsia="Arial" w:hAnsi="Arial"/>
                <w:sz w:val="13"/>
                <w:szCs w:val="13"/>
                <w:color w:val="0000FF"/>
              </w:rPr>
              <w:t>03/01/2018</w:t>
            </w:r>
          </w:p>
        </w:tc>
        <w:tc>
          <w:tcPr>
            <w:tcW w:w="112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50,017</w:t>
            </w:r>
          </w:p>
        </w:tc>
        <w:tc>
          <w:tcPr>
            <w:tcW w:w="240" w:type="dxa"/>
            <w:vAlign w:val="bottom"/>
          </w:tcPr>
          <w:p>
            <w:pPr>
              <w:spacing w:after="0"/>
              <w:rPr>
                <w:sz w:val="20"/>
                <w:szCs w:val="20"/>
                <w:color w:val="auto"/>
              </w:rPr>
            </w:pPr>
          </w:p>
        </w:tc>
        <w:tc>
          <w:tcPr>
            <w:tcW w:w="820" w:type="dxa"/>
            <w:vAlign w:val="bottom"/>
          </w:tcPr>
          <w:p>
            <w:pPr>
              <w:ind w:left="400"/>
              <w:spacing w:after="0"/>
              <w:rPr>
                <w:sz w:val="20"/>
                <w:szCs w:val="20"/>
                <w:color w:val="auto"/>
              </w:rPr>
            </w:pPr>
            <w:r>
              <w:rPr>
                <w:rFonts w:ascii="Arial" w:cs="Arial" w:eastAsia="Arial" w:hAnsi="Arial"/>
                <w:sz w:val="11"/>
                <w:szCs w:val="11"/>
                <w:color w:val="008000"/>
              </w:rPr>
              <w:t>(3)</w:t>
            </w:r>
          </w:p>
        </w:tc>
        <w:tc>
          <w:tcPr>
            <w:tcW w:w="800" w:type="dxa"/>
            <w:vAlign w:val="bottom"/>
          </w:tcPr>
          <w:p>
            <w:pPr>
              <w:ind w:left="120"/>
              <w:spacing w:after="0"/>
              <w:rPr>
                <w:sz w:val="20"/>
                <w:szCs w:val="20"/>
                <w:color w:val="auto"/>
              </w:rPr>
            </w:pPr>
            <w:r>
              <w:rPr>
                <w:rFonts w:ascii="Arial" w:cs="Arial" w:eastAsia="Arial" w:hAnsi="Arial"/>
                <w:sz w:val="13"/>
                <w:szCs w:val="13"/>
                <w:color w:val="0000FF"/>
              </w:rPr>
              <w:t>12/31/2020</w:t>
            </w: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w w:val="92"/>
              </w:rPr>
              <w:t>50,017</w:t>
            </w:r>
          </w:p>
        </w:tc>
        <w:tc>
          <w:tcPr>
            <w:tcW w:w="820" w:type="dxa"/>
            <w:vAlign w:val="bottom"/>
            <w:gridSpan w:val="2"/>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0000FF"/>
              </w:rPr>
              <w:t>50,017</w:t>
            </w:r>
          </w:p>
        </w:tc>
        <w:tc>
          <w:tcPr>
            <w:tcW w:w="420" w:type="dxa"/>
            <w:vAlign w:val="bottom"/>
          </w:tcPr>
          <w:p>
            <w:pPr>
              <w:ind w:left="340"/>
              <w:spacing w:after="0"/>
              <w:rPr>
                <w:sz w:val="20"/>
                <w:szCs w:val="20"/>
                <w:color w:val="auto"/>
              </w:rPr>
            </w:pPr>
            <w:r>
              <w:rPr>
                <w:rFonts w:ascii="Arial" w:cs="Arial" w:eastAsia="Arial" w:hAnsi="Arial"/>
                <w:sz w:val="11"/>
                <w:szCs w:val="11"/>
                <w:color w:val="0000FF"/>
                <w:w w:val="74"/>
              </w:rPr>
              <w:t>D</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50,017 restricted stock units which vest in three equal annual installments beginning on March 1, 2019.</w:t>
      </w:r>
    </w:p>
    <w:p>
      <w:pPr>
        <w:spacing w:after="0" w:line="49" w:lineRule="exact"/>
        <w:rPr>
          <w:rFonts w:ascii="Arial" w:cs="Arial" w:eastAsia="Arial" w:hAnsi="Arial"/>
          <w:sz w:val="13"/>
          <w:szCs w:val="13"/>
          <w:color w:val="008000"/>
        </w:rPr>
      </w:pPr>
    </w:p>
    <w:p>
      <w:pPr>
        <w:ind w:left="40" w:right="20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held by the Nipper Family Limited Partnership, a limited partnership of which the reporting person is the trustee of the sole general partner, Nipper Family Management Trust. The reporting person disclaims beneficial ownership of the Issuer's securities held by the Nipper Family Limited Partnership except to the extent of his pecuniary interest therein.</w:t>
      </w:r>
    </w:p>
    <w:p>
      <w:pPr>
        <w:spacing w:after="0" w:line="15" w:lineRule="exact"/>
        <w:rPr>
          <w:rFonts w:ascii="Arial" w:cs="Arial" w:eastAsia="Arial" w:hAnsi="Arial"/>
          <w:sz w:val="13"/>
          <w:szCs w:val="13"/>
          <w:color w:val="008000"/>
        </w:rPr>
      </w:pPr>
    </w:p>
    <w:p>
      <w:pPr>
        <w:ind w:left="40" w:right="16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performance shares represent a contingent right to receive common stock, based on the Issuer's relative shareholder return versus that of its peer group. Each performance share will settle for between zero and two shares of common stock in the first quarter of 2021, based on achievement of the performance measure over a three-year period, following certification by the Compensation, Nominating and Governance Committee of the performance results.</w:t>
      </w:r>
    </w:p>
    <w:p>
      <w:pPr>
        <w:ind w:left="6860"/>
        <w:spacing w:after="0" w:line="182" w:lineRule="auto"/>
        <w:rPr>
          <w:sz w:val="20"/>
          <w:szCs w:val="20"/>
          <w:color w:val="auto"/>
        </w:rPr>
      </w:pPr>
      <w:r>
        <w:rPr>
          <w:rFonts w:ascii="Arial" w:cs="Arial" w:eastAsia="Arial" w:hAnsi="Arial"/>
          <w:sz w:val="17"/>
          <w:szCs w:val="17"/>
          <w:color w:val="0000FF"/>
        </w:rPr>
        <w:t xml:space="preserve">/s/ Kevin Trautner, attorney-in-  </w:t>
      </w:r>
      <w:r>
        <w:rPr>
          <w:rFonts w:ascii="Arial" w:cs="Arial" w:eastAsia="Arial" w:hAnsi="Arial"/>
          <w:sz w:val="32"/>
          <w:szCs w:val="32"/>
          <w:color w:val="0000FF"/>
          <w:vertAlign w:val="subscript"/>
        </w:rPr>
        <w:t>03/05/2018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-27940</wp:posOffset>
            </wp:positionV>
            <wp:extent cx="1368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-17145</wp:posOffset>
            </wp:positionV>
            <wp:extent cx="16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-85090</wp:posOffset>
            </wp:positionV>
            <wp:extent cx="499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1187" TargetMode="External"/><Relationship Id="rId13" Type="http://schemas.openxmlformats.org/officeDocument/2006/relationships/hyperlink" Target="http://www.sec.gov/cgi-bin/browse-edgar?action=getcompany&amp;CIK=00016924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2019-12-08T16:32:20Z</dcterms:created>
  <dcterms:modified xsi:type="dcterms:W3CDTF">2019-12-08T16:32:20Z</dcterms:modified>
</cp:coreProperties>
</file>