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274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743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Stromquist Marty</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NCS MULTISTAGE HOLDINGS,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19450 STATE HIGHWAY 249, SUITE 200</w:t>
      </w:r>
    </w:p>
    <w:p>
      <w:pPr>
        <w:spacing w:after="0" w:line="304"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77070</w:t>
            </w:r>
          </w:p>
        </w:tc>
      </w:tr>
      <w:tr>
        <w:trPr>
          <w:trHeight w:val="154"/>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900" w:type="dxa"/>
            <w:vAlign w:val="bottom"/>
            <w:gridSpan w:val="3"/>
          </w:tcPr>
          <w:p>
            <w:pPr>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NCS Multistage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NCSM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160" w:type="dxa"/>
            <w:vAlign w:val="bottom"/>
            <w:gridSpan w:val="3"/>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52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700" w:type="dxa"/>
            <w:vAlign w:val="bottom"/>
            <w:gridSpan w:val="3"/>
          </w:tcPr>
          <w:p>
            <w:pPr>
              <w:ind w:left="60"/>
              <w:spacing w:after="0"/>
              <w:rPr>
                <w:sz w:val="20"/>
                <w:szCs w:val="20"/>
                <w:color w:val="auto"/>
              </w:rPr>
            </w:pPr>
            <w:r>
              <w:rPr>
                <w:rFonts w:ascii="Arial" w:cs="Arial" w:eastAsia="Arial" w:hAnsi="Arial"/>
                <w:sz w:val="17"/>
                <w:szCs w:val="17"/>
                <w:color w:val="0000FF"/>
              </w:rPr>
              <w:t>03/01/2018</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ind w:left="900"/>
              <w:spacing w:after="0"/>
              <w:rPr>
                <w:sz w:val="20"/>
                <w:szCs w:val="20"/>
                <w:color w:val="auto"/>
              </w:rPr>
            </w:pPr>
            <w:r>
              <w:rPr>
                <w:rFonts w:ascii="Arial" w:cs="Arial" w:eastAsia="Arial" w:hAnsi="Arial"/>
                <w:sz w:val="17"/>
                <w:szCs w:val="17"/>
                <w:color w:val="0000FF"/>
              </w:rPr>
              <w:t>President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2"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gridSpan w:val="2"/>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03/01/2018</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24,419</w:t>
            </w:r>
          </w:p>
        </w:tc>
        <w:tc>
          <w:tcPr>
            <w:tcW w:w="68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1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24,419</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221,156</w:t>
            </w:r>
            <w:r>
              <w:rPr>
                <w:rFonts w:ascii="Arial" w:cs="Arial" w:eastAsia="Arial" w:hAnsi="Arial"/>
                <w:sz w:val="22"/>
                <w:szCs w:val="22"/>
                <w:color w:val="008000"/>
                <w:vertAlign w:val="superscript"/>
              </w:rPr>
              <w:t>(2)</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60" w:type="dxa"/>
            <w:vAlign w:val="bottom"/>
            <w:gridSpan w:val="12"/>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0" w:type="dxa"/>
            <w:vAlign w:val="bottom"/>
            <w:gridSpan w:val="10"/>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5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1120" w:type="dxa"/>
            <w:vAlign w:val="bottom"/>
          </w:tcPr>
          <w:p>
            <w:pPr>
              <w:ind w:left="260"/>
              <w:spacing w:after="0"/>
              <w:rPr>
                <w:sz w:val="20"/>
                <w:szCs w:val="20"/>
                <w:color w:val="auto"/>
              </w:rPr>
            </w:pPr>
            <w:r>
              <w:rPr>
                <w:rFonts w:ascii="Arial" w:cs="Arial" w:eastAsia="Arial" w:hAnsi="Arial"/>
                <w:sz w:val="13"/>
                <w:szCs w:val="13"/>
                <w:color w:val="0000FF"/>
              </w:rPr>
              <w:t>03/01/2018</w:t>
            </w:r>
          </w:p>
        </w:tc>
        <w:tc>
          <w:tcPr>
            <w:tcW w:w="112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24,419</w:t>
            </w:r>
          </w:p>
        </w:tc>
        <w:tc>
          <w:tcPr>
            <w:tcW w:w="320" w:type="dxa"/>
            <w:vAlign w:val="bottom"/>
          </w:tcPr>
          <w:p>
            <w:pPr>
              <w:spacing w:after="0"/>
              <w:rPr>
                <w:sz w:val="20"/>
                <w:szCs w:val="20"/>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40"/>
              <w:spacing w:after="0"/>
              <w:rPr>
                <w:sz w:val="20"/>
                <w:szCs w:val="20"/>
                <w:color w:val="auto"/>
              </w:rPr>
            </w:pPr>
            <w:r>
              <w:rPr>
                <w:rFonts w:ascii="Arial" w:cs="Arial" w:eastAsia="Arial" w:hAnsi="Arial"/>
                <w:sz w:val="13"/>
                <w:szCs w:val="13"/>
                <w:color w:val="0000FF"/>
              </w:rPr>
              <w:t>12/31/2020</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24,419</w:t>
            </w:r>
          </w:p>
        </w:tc>
        <w:tc>
          <w:tcPr>
            <w:tcW w:w="40" w:type="dxa"/>
            <w:vAlign w:val="bottom"/>
          </w:tcPr>
          <w:p>
            <w:pPr>
              <w:spacing w:after="0"/>
              <w:rPr>
                <w:sz w:val="20"/>
                <w:szCs w:val="20"/>
                <w:color w:val="auto"/>
              </w:rPr>
            </w:pP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40"/>
              <w:spacing w:after="0"/>
              <w:rPr>
                <w:sz w:val="20"/>
                <w:szCs w:val="20"/>
                <w:color w:val="auto"/>
              </w:rPr>
            </w:pPr>
            <w:r>
              <w:rPr>
                <w:rFonts w:ascii="Arial" w:cs="Arial" w:eastAsia="Arial" w:hAnsi="Arial"/>
                <w:sz w:val="13"/>
                <w:szCs w:val="13"/>
                <w:color w:val="0000FF"/>
              </w:rPr>
              <w:t>24,419</w:t>
            </w:r>
          </w:p>
        </w:tc>
        <w:tc>
          <w:tcPr>
            <w:tcW w:w="56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which vest in three equal annual installments beginning on March 1, 2019.</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Cemblend Systems Inc. Cemblend Systems Inc. is indirectly 50% owned by Mr. Stromquist.</w:t>
      </w:r>
    </w:p>
    <w:p>
      <w:pPr>
        <w:spacing w:after="0" w:line="49" w:lineRule="exact"/>
        <w:rPr>
          <w:rFonts w:ascii="Arial" w:cs="Arial" w:eastAsia="Arial" w:hAnsi="Arial"/>
          <w:sz w:val="13"/>
          <w:szCs w:val="13"/>
          <w:color w:val="008000"/>
        </w:rPr>
      </w:pPr>
    </w:p>
    <w:p>
      <w:pPr>
        <w:ind w:left="40" w:right="16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performance shares represent a contingent right to receive common stock, based on the Issuer's relative shareholder return versus that of its peer group. Each performance share will settle for between zero and two shares of common stock in the first quarter of 2021, based on achievement of the performance measure over a three-year period, following certification by the Compensation, Nominating and Governance Committee of the performance results.</w:t>
      </w:r>
    </w:p>
    <w:p>
      <w:pPr>
        <w:ind w:left="6860"/>
        <w:spacing w:after="0" w:line="182" w:lineRule="auto"/>
        <w:rPr>
          <w:sz w:val="20"/>
          <w:szCs w:val="20"/>
          <w:color w:val="auto"/>
        </w:rPr>
      </w:pPr>
      <w:r>
        <w:rPr>
          <w:rFonts w:ascii="Arial" w:cs="Arial" w:eastAsia="Arial" w:hAnsi="Arial"/>
          <w:sz w:val="17"/>
          <w:szCs w:val="17"/>
          <w:color w:val="0000FF"/>
        </w:rPr>
        <w:t xml:space="preserve">/s/ Kevin Trautner, attorney-in-  </w:t>
      </w:r>
      <w:r>
        <w:rPr>
          <w:rFonts w:ascii="Arial" w:cs="Arial" w:eastAsia="Arial" w:hAnsi="Arial"/>
          <w:sz w:val="32"/>
          <w:szCs w:val="32"/>
          <w:color w:val="0000FF"/>
          <w:vertAlign w:val="subscript"/>
        </w:rPr>
        <w:t>03/05/2018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-27940</wp:posOffset>
            </wp:positionV>
            <wp:extent cx="1368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-17145</wp:posOffset>
            </wp:positionV>
            <wp:extent cx="16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-85090</wp:posOffset>
            </wp:positionV>
            <wp:extent cx="499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9918" TargetMode="External"/><Relationship Id="rId13" Type="http://schemas.openxmlformats.org/officeDocument/2006/relationships/hyperlink" Target="http://www.sec.gov/cgi-bin/browse-edgar?action=getcompany&amp;CIK=00016924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2019-12-08T16:25:29Z</dcterms:created>
  <dcterms:modified xsi:type="dcterms:W3CDTF">2019-12-08T16:25:29Z</dcterms:modified>
</cp:coreProperties>
</file>