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RALLS W MATT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NCS MULTISTAGE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19450 STATE HIGHWAY 249, SUITE 200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70070</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NCS Multistage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NCSM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60" w:type="dxa"/>
            <w:vAlign w:val="bottom"/>
            <w:gridSpan w:val="3"/>
          </w:tcPr>
          <w:p>
            <w:pPr>
              <w:ind w:left="80"/>
              <w:spacing w:after="0"/>
              <w:rPr>
                <w:sz w:val="20"/>
                <w:szCs w:val="20"/>
                <w:color w:val="auto"/>
              </w:rPr>
            </w:pPr>
            <w:r>
              <w:rPr>
                <w:rFonts w:ascii="Arial" w:cs="Arial" w:eastAsia="Arial" w:hAnsi="Arial"/>
                <w:sz w:val="18"/>
                <w:szCs w:val="18"/>
                <w:color w:val="0000FF"/>
              </w:rPr>
              <w:t>05/03/2017</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05/03/2017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30,000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30,000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13,234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common stock were purchased in the Issuer's initial public offering pursuant to a directed share program.</w:t>
      </w:r>
    </w:p>
    <w:p>
      <w:pPr>
        <w:spacing w:after="0" w:line="41"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7,352 restricted stock units which vest on April 27, 2018 and 5,882 restricted stock units which vest in three equal annual installments beginning on April 27, 2018. The restricted stock units settle for shares of common stock on a one-for-one basis within thirty days following the earliest of (i) one year following the termination of the reporting person's service for any reason other than cause, (ii) a change of control or (iii) the fifth anniversary of the grant date.</w:t>
      </w:r>
    </w:p>
    <w:p>
      <w:pPr>
        <w:ind w:left="6860"/>
        <w:spacing w:after="0" w:line="183" w:lineRule="auto"/>
        <w:rPr>
          <w:sz w:val="20"/>
          <w:szCs w:val="20"/>
          <w:color w:val="auto"/>
        </w:rPr>
      </w:pPr>
      <w:r>
        <w:rPr>
          <w:rFonts w:ascii="Arial" w:cs="Arial" w:eastAsia="Arial" w:hAnsi="Arial"/>
          <w:sz w:val="17"/>
          <w:szCs w:val="17"/>
          <w:color w:val="0000FF"/>
        </w:rPr>
        <w:t xml:space="preserve">/s/ Kevin Trautner, attorney-in- </w:t>
      </w:r>
      <w:r>
        <w:rPr>
          <w:rFonts w:ascii="Arial" w:cs="Arial" w:eastAsia="Arial" w:hAnsi="Arial"/>
          <w:sz w:val="33"/>
          <w:szCs w:val="33"/>
          <w:color w:val="0000FF"/>
          <w:vertAlign w:val="subscript"/>
        </w:rPr>
        <w:t>05/04/2017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365" TargetMode="External"/><Relationship Id="rId13" Type="http://schemas.openxmlformats.org/officeDocument/2006/relationships/hyperlink" Target="http://www.sec.gov/cgi-bin/browse-edgar?action=getcompany&amp;CIK=00016924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2019-12-23T21:43:59Z</dcterms:created>
  <dcterms:modified xsi:type="dcterms:W3CDTF">2019-12-23T21:43:59Z</dcterms:modified>
</cp:coreProperties>
</file>