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MYERS FRANKLIN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NCS MULTISTAGE HOLDINGS,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19450 STATE HIGHWAY 249, SUITE 200</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77070</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NCS Multistage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NCSM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60" w:type="dxa"/>
            <w:vAlign w:val="bottom"/>
            <w:tcBorders>
              <w:bottom w:val="single" w:sz="8" w:color="0000EE"/>
            </w:tcBorders>
          </w:tcPr>
          <w:p>
            <w:pPr>
              <w:spacing w:after="0"/>
              <w:rPr>
                <w:sz w:val="3"/>
                <w:szCs w:val="3"/>
                <w:color w:val="auto"/>
              </w:rPr>
            </w:pPr>
          </w:p>
        </w:tc>
        <w:tc>
          <w:tcPr>
            <w:tcW w:w="1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60" w:type="dxa"/>
            <w:vAlign w:val="bottom"/>
            <w:tcBorders>
              <w:bottom w:val="single" w:sz="8" w:color="2C2C2C"/>
            </w:tcBorders>
          </w:tcPr>
          <w:p>
            <w:pPr>
              <w:spacing w:after="0"/>
              <w:rPr>
                <w:sz w:val="10"/>
                <w:szCs w:val="10"/>
                <w:color w:val="auto"/>
              </w:rPr>
            </w:pPr>
          </w:p>
        </w:tc>
        <w:tc>
          <w:tcPr>
            <w:tcW w:w="12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760" w:type="dxa"/>
            <w:vAlign w:val="bottom"/>
            <w:gridSpan w:val="3"/>
          </w:tcPr>
          <w:p>
            <w:pPr>
              <w:ind w:left="80"/>
              <w:spacing w:after="0"/>
              <w:rPr>
                <w:sz w:val="20"/>
                <w:szCs w:val="20"/>
                <w:color w:val="auto"/>
              </w:rPr>
            </w:pPr>
            <w:r>
              <w:rPr>
                <w:rFonts w:ascii="Arial" w:cs="Arial" w:eastAsia="Arial" w:hAnsi="Arial"/>
                <w:sz w:val="18"/>
                <w:szCs w:val="18"/>
                <w:color w:val="0000FF"/>
              </w:rPr>
              <w:t>03/01/2018</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03/01/2018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8"/>
              </w:rPr>
              <w:t>8,550</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21,784</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Consists of 8,550 restricted stock units which vest on March 1, 2019, 7,352 restricted stock units which vest on April 27, 2018 and 5,882 restricted stock units which vest in three equal annual installments beginning on April 27, 2018. The restricted stock units settle for shares of common stock on a one-for-one basis within thirty days following the earliest of (i) one year following the termination of the reporting person's service for any reason other than cause, (ii) a change of control or (iii) the fifth anniversary of the grant date.</w:t>
      </w:r>
    </w:p>
    <w:p>
      <w:pPr>
        <w:ind w:left="6860"/>
        <w:spacing w:after="0" w:line="183" w:lineRule="auto"/>
        <w:rPr>
          <w:sz w:val="20"/>
          <w:szCs w:val="20"/>
          <w:color w:val="auto"/>
        </w:rPr>
      </w:pPr>
      <w:r>
        <w:rPr>
          <w:rFonts w:ascii="Arial" w:cs="Arial" w:eastAsia="Arial" w:hAnsi="Arial"/>
          <w:sz w:val="17"/>
          <w:szCs w:val="17"/>
          <w:color w:val="0000FF"/>
        </w:rPr>
        <w:t xml:space="preserve">/s/ Kevin Trautner, attorney-in- </w:t>
      </w:r>
      <w:r>
        <w:rPr>
          <w:rFonts w:ascii="Arial" w:cs="Arial" w:eastAsia="Arial" w:hAnsi="Arial"/>
          <w:sz w:val="33"/>
          <w:szCs w:val="33"/>
          <w:color w:val="0000FF"/>
          <w:vertAlign w:val="subscript"/>
        </w:rPr>
        <w:t>03/05/2018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90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065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07002" TargetMode="External"/><Relationship Id="rId13" Type="http://schemas.openxmlformats.org/officeDocument/2006/relationships/hyperlink" Target="http://www.sec.gov/cgi-bin/browse-edgar?action=getcompany&amp;CIK=00016924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2019-12-24T08:20:36Z</dcterms:created>
  <dcterms:modified xsi:type="dcterms:W3CDTF">2019-12-24T08:20:36Z</dcterms:modified>
</cp:coreProperties>
</file>