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4761d8k.htm"/>
      <w:bookmarkStart w:id="1" w:name="ksd53476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NCS Multistage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001-38071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46-1527455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5345"/>
        <w:gridCol w:w="60"/>
        <w:gridCol w:w="1145"/>
      </w:tblGrid>
      <w:tr>
        <w:trPr/>
        <w:tc>
          <w:tcPr>
            <w:tcW w:w="5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5345" w:type="dxa"/>
            <w:tcBorders/>
            <w:vAlign w:val="center"/>
          </w:tcPr>
          <w:p>
            <w:pPr>
              <w:pStyle w:val="TableContents"/>
              <w:bidi w:val="0"/>
              <w:spacing w:before="0" w:after="283"/>
              <w:jc w:val="center"/>
              <w:rPr>
                <w:b/>
              </w:rPr>
            </w:pPr>
            <w:r>
              <w:rPr>
                <w:b/>
              </w:rPr>
              <w:t>19350 State Highway 249, Suite 600, 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77070</w:t>
            </w:r>
          </w:p>
        </w:tc>
      </w:tr>
      <w:tr>
        <w:trPr/>
        <w:tc>
          <w:tcPr>
            <w:tcW w:w="534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(281) 453-2222</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b/>
          <w:sz w:val="20"/>
        </w:rPr>
      </w:pPr>
      <w:r>
        <w:rPr>
          <w:rFonts w:ascii="Times New Roman" w:hAnsi="Times New Roman"/>
          <w:b/>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110"/>
        <w:gridCol w:w="60"/>
        <w:gridCol w:w="740"/>
        <w:gridCol w:w="60"/>
        <w:gridCol w:w="272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NCSM</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On September 1, 2026 (the “Closing Date”), pursuant to the Agreement and Plan of Merger, dated as of May 31, 2026 (the “Merger Agreement”), by and among Weatherford International plc, an Irish public limited company (“Parent”), Trinity Bell Sub, Inc., a Delaware corporation and wholly owned subsidiary of Parent (“Merger Sub”), and NCS Multistage Holdings, Inc., a Delaware corporation (the “Company”), Merger Sub merged with and into the Company, with the Company continuing as the surviving corporation and a wholly owned subsidiary of Parent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and the Merger Agreement does not purport to be complete and is qualified in its entirety by reference to the full text of the Merger Agreement, which is included as Exhibit 2.1 to the Current Report on Form 8-K filed with the U.S. Securities and Exchange Commission (the “SEC”) by the Company on June 2, 2026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1.02 Termination of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completion of the Merger, on the Closing Date, the Company terminated all outstanding commitments under that certain Credit Agreement, dated as of May 3, 2022, by and among the Company, Pioneer Investment, Inc., NCS Multistage, LLC, NCS Multistage Inc., the other loan parties thereto, the lenders party thereto, and JPMorgan Chase Bank, N.A., as administrative agent (as amended, restated and amended and restated from time to time, the “Credit Agreement”). In connection with the termination of the Credit Agreement, on the Closing Date, all outstanding obligations under the Credit Agreement were paid off in full, and all liens securing such obligations and guarantees of such obligations were released. </w:t>
      </w:r>
    </w:p>
    <w:p>
      <w:pPr>
        <w:pStyle w:val="TextBody"/>
        <w:bidi w:val="0"/>
        <w:spacing w:before="360" w:after="0"/>
        <w:jc w:val="left"/>
        <w:rPr>
          <w:rFonts w:ascii="Times New Roman" w:hAnsi="Times New Roman"/>
          <w:b/>
          <w:sz w:val="20"/>
        </w:rPr>
      </w:pPr>
      <w:r>
        <w:rPr>
          <w:rFonts w:ascii="Times New Roman" w:hAnsi="Times New Roman"/>
          <w:b/>
          <w:sz w:val="20"/>
        </w:rPr>
        <w:t xml:space="preserve">Item 2.01 Completion of Acquisition or Disposition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Introductory Note of this Current Report on Form 8-K is incorporated by reference into this Item 2.01.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Merger Agreement, at the effective time of the Merger (the “Effective Time”), each share of the Company’s common stock, par value $0.01 per share (“Company Common Stock”) issued and outstanding immediately prior to the Effective Time was converted into the right for each holder to elect to receive: (a) 0.5537 ordinary shares, par value $0.001 per share, of Parent (the “Ordinary Shares”), which are not subject to any cap or proration (the “Share Consideration” and such exchange ratio, the “Share Consideration Exchange Ratio”) or (b) (1) cash in an amount equivalent to 0.1371 Ordinary Shares at the closing price of the Ordinary Shares on The Nasdaq Global Select Market on the last complete trading day prior to the Closing Date of $97.77 (subject to a “Maximum Cash Election Amount” as defined in the Merger Agreement), and (2) 0.2392 Ordinary Shares (collectively, the “Mixed Consideration” and, together with the Share Consideration,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at the Effective Time, (i) (a) Parent assumed each restricted stock unit of the Company (each, a “Company RSU”) and each equivalent stock unit of the Company (each, a “Company ESU” and, together with the Company RSUs, the “Assumed RSUs”) (other than each Company RSU granted to a non-employee director of the Company (each, a “Company DSU”)) that was outstanding immediately prior to closing, whether or not vested, (b) each Assumed RSU continues to have, and be subject to, the same terms and conditions, including vesting and forfeiture restrictions, provided that with respect to each Company ESU, the Max Value Cap (as defined in the applicable award agreement) ceased to apply to such Company ESU, and (c) each Assumed RSU was converted into an award covering a number of Ordinary Shares equal to the product of the number of shares of Company Common Stock subject to the Assumed RSU immediately prior to the Effective Time, multiplied by the Share Consideration Exchange Ratio, rounded down to the nearest whole share; (ii) (a) Parent assumed each stock option of the Company (each, a “Company Option”), whether vested or unvested, that was outstanding immediately prior to closing and had a per share exercise price less than the value of the Merger Consideration (the “Assumed Options”), and each Assumed Option continues to have, and be subject to, the same terms and conditions, including vesting and forfeiture restrictions, and was converted into an option to acquire a number of Ordinary Shares equal to the product of the number of shares of Company Common Stock underlying such Company Option multiplied by the Share Consideration Exchange Ratio, rounded down to the nearest whole number, with an exercise price per share equal to the quotient obtained by dividing (A) the per share exercise price of such Company Option, by (B) the Share Consideration Exchange Ratio, rounded up to the nearest whole cent, and (b) each Company Option, whether vested or unvested, that was outstanding immediately prior to the Effective Time and had a per share exercise price equal to or greater than the value of the Merger Consideration was, at the Effective Time, canceled without consideration; and (iii) (a) Parent assumed each performance stock unit of the Company that was outstanding immediately prior to closing, whether or not vested (each, an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pPr>
      <w:r>
        <w:rPr/>
        <w:t>“</w:t>
      </w:r>
      <w:r>
        <w:rPr>
          <w:rFonts w:ascii="Times New Roman" w:hAnsi="Times New Roman"/>
          <w:sz w:val="20"/>
        </w:rPr>
        <w:t xml:space="preserve">Assumed PSU”), (b) each Assumed PSU continues to have, and be subject to, the same terms and conditions, including vesting and forfeiture restrictions, except that the performance goals were deemed satisfied at the greater of target and actual level of achievement as of the date of the Merger Agreement, as determined by the Company’s board of directors, and (c) each Assumed PSU was converted into an award covering a number of Ordinary Shares equal to the product of the number of shares of Company Common Stock subject to the Assumed PSU immediately prior to the Effective Time (with performance determined in accordance with clause (b)), multiplied by the Share Consideration Exchange Ratio, rounded down to the nearest whole share. Each Company DSU vested and settled in shares of Company Common Stock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May 31, 2026, holders of more than 50% of the outstanding Company Common Stock, including Advent-NCS Acquisition L.P. (collectively, the “Majority Holders”), executed and delivered a written consent adopting and approving the Merger Agreement (the “Company Stockholder Consent”), which consent became effective immediately following the execution of the Merger Agreement. As a result of the Company Stockholder Consent, no further approval by the stockholders of the Company was required to consummate the transactions contemplated by the Merger Agreement, and Parent assumed control of the Company from the holders of Company Common Stock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Ordinary Shares to the former stockholders of the Company, other than the Majority Holders, was registered under the Securities Act of 1933, as amended (the “Securities Act”), pursuant to a registration statement on Form S-4 (File No. 333-297275), as amended, filed by Parent with the SEC and declared effective on July 21, 2026 (the “Registration Statement”). The Ordinary Shares issued to the Majority Holders were issued pursuant to an exemption from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eligible holders of Company Common Stock were entitled to elect one form of Merger Consideration for all of the shares such holder owned immediately prior to the Effective Time, and such holders were given the opportunity to elect to receive (i) solely the Share Consideration or (ii) solely the Mixed Consideration (such election, a “Mixed Election”). The Mixed Consideration was subject to prorated replacement with Share Consideration in the event the Mixed Elections were oversubscribed such that the aggregate amount of Mixed Election shares multiplied by the Cash Consideration (as defined in the Merger Agreement) exceeded the Maximum Cash Election Amount. </w:t>
      </w:r>
    </w:p>
    <w:p>
      <w:pPr>
        <w:pStyle w:val="TextBody"/>
        <w:bidi w:val="0"/>
        <w:spacing w:before="240" w:after="0"/>
        <w:jc w:val="left"/>
        <w:rPr>
          <w:rFonts w:ascii="Times New Roman" w:hAnsi="Times New Roman"/>
          <w:sz w:val="20"/>
        </w:rPr>
      </w:pPr>
      <w:r>
        <w:rPr>
          <w:rFonts w:ascii="Times New Roman" w:hAnsi="Times New Roman"/>
          <w:sz w:val="20"/>
        </w:rPr>
        <w:t xml:space="preserve">Based on the final results of the Merger Consideration election process: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of approximately 55.0% of the shares of Company Common Stock eligible to make a Merger Consideration election elected to receive the Mixed Consideration and, in accordance with the proration procedures set forth in the Merger Agreement, (i) approximately 99.2% of such shares shall receive the Mixed Consideration and (ii) approximately 0.8% of such shares shall receive the Share Consideration;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of approximately 45.0% of the shares of Company Common Stock eligible to make a Merger Consideration election either (i) elected to receive the Share Consideration, (ii) did not make a valid election, or (iii) did not deliver a valid election form prior to the election deadline of August 31, 2026. Each such holder shall receive the Share Consideration.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Company Common Stock were issued and holders of Company Common Stock received cash in lieu of any fractional Ordinary Shares. A more detailed description of the Merger, the Merger Agreement and the transactions contemplated thereby, and the Merger Consideration and the allocation and proration procedures applicable to elections are contained in the Registration Statement, and related information statement/prospectus dated as of July 22, 2026, which are available at the SEC’s website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Item 3.01 Notice of Delisting or Failure to Satisfy a Continued Listing Rule or Standard; Transfer of Listing.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Introductory Note and Item 2.01 of this Current Report on Form 8-K is incorporated by reference into this Item 3.01.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shares of Company Common Stock were listed and traded on The Nasdaq Capital Market (“Nasdaq”) under the trading symbol “NCSM.” The Company has notified Nasdaq that the Merger had been completed and that each outstanding share of the Company Common Stock was converted into the right to receive the Merger Consideration. In addition, the Company requested that Nasdaq (i) halt trading of the Company Common Stock prior to the open of trading on the Closing Date, (ii) withdraw the Company Common Stock from listing on Nasdaq, and (iii) file with the SEC a Notification of Removal from Listing and/or Registration under Section 12(b) of the Securities Exchange Act of 1934, as amended (the “Exchange Act”), on Form 25 to report that the Company Common Stock is no longer listed on Nasdaq and to apply for the deregistration of the Company Common Stock under Section 12(b) of the Exchange Act. As a result, the Company Common Stock will no longer be listed on Nasdaq.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also intends to file with the SEC a certification and notice of termination on Form 15 requesting the termination of registration of the Company Common Stock under Section 12(g) of the Exchange Act and the suspension of reporting obligations under Sections 13 and 15(d) of the Exchange Act.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65"/>
        <w:gridCol w:w="4490"/>
      </w:tblGrid>
      <w:tr>
        <w:trPr/>
        <w:tc>
          <w:tcPr>
            <w:tcW w:w="965" w:type="dxa"/>
            <w:tcBorders/>
            <w:vAlign w:val="center"/>
          </w:tcPr>
          <w:p>
            <w:pPr>
              <w:pStyle w:val="TableContents"/>
              <w:bidi w:val="0"/>
              <w:spacing w:before="0" w:after="283"/>
              <w:jc w:val="left"/>
              <w:rPr>
                <w:b/>
              </w:rPr>
            </w:pPr>
            <w:r>
              <w:rPr>
                <w:b/>
              </w:rPr>
              <w:t>Item 3.03</w:t>
            </w:r>
          </w:p>
        </w:tc>
        <w:tc>
          <w:tcPr>
            <w:tcW w:w="44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Introductory Note and Items 2.01, 3.01, 5.01 and 5.03 of this Current Report on Form 8-K is incorporated by reference into this Item 3.03.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holders of issued and outstanding Company Common Stock ceased to have any rights in connection with their holding of such securities, other than the right to receive their applicable amount of the Merger Consideration as described under Item 2.01.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965"/>
        <w:gridCol w:w="2900"/>
      </w:tblGrid>
      <w:tr>
        <w:trPr/>
        <w:tc>
          <w:tcPr>
            <w:tcW w:w="965" w:type="dxa"/>
            <w:tcBorders/>
            <w:vAlign w:val="center"/>
          </w:tcPr>
          <w:p>
            <w:pPr>
              <w:pStyle w:val="TableContents"/>
              <w:bidi w:val="0"/>
              <w:spacing w:before="0" w:after="283"/>
              <w:jc w:val="left"/>
              <w:rPr>
                <w:b/>
              </w:rPr>
            </w:pPr>
            <w:r>
              <w:rPr>
                <w:b/>
              </w:rPr>
              <w:t>Item 5.01</w:t>
            </w:r>
          </w:p>
        </w:tc>
        <w:tc>
          <w:tcPr>
            <w:tcW w:w="29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Changes in Control of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Introductory Note and Items 2.01 and 5.02 of this Current Report on Form 8-K is incorporated by reference into this Item 5.01.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completion of the Merger, a change in control of the Company occurred, and the Company became a wholly owned subsidiary of Parent.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as of the Effective Time, in accordance with the Merger Agreement, each member of the Company’s board of directors and certain of the Company’s officers resigned from and ceased serving on the Company’s board of directors (including any committees thereof) and as officers of the Company, as applicable. No director or officer resigned in their capacity as an employee of the Company, if applicable, or as a result of any disagreement with the Company on any matter relating to the Company’s operations, policies or practices. The members of the Company’s board of directors immediately prior to the Effective Time were Michael McShane, John Deane, Gurinder Grewal, Ryan Hummer, Valerie Mitchell, Robert Nipper and W. Matt Ralls. Certain officers of the Company, who resigned in their capacity as officers, but not employees, in connection with the Merger, immediately prior to the Effective Time were Ryan Hummer, Chief Executive Officer, Michael Morrison, Chief Financial Officer and Treasurer, Tim Willems, Chief Operations Officer, Ori Lev, Executive Vice President, General Counsel and Secretary and Dewayne Williams, Vice President and Controller.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directors and officers of Merger Sub immediately prior to the Effective Time became the initial directors and officers of the Company as the surviving corporation in the Merger, each to hold office until their respective successors are duly elected and qualified or their earlier death, resignation or removal. Accordingly, from and after the Effective Time, Beth Ann Dranguet became the sole director of the Company, and Beth Ann Dranguet, Depinder Sandhu, Maximiliano A. Kricorian, and Steven F. Carvalho became officers of the Company.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the Introductory Note and in Item 2.01 of this Current Report on Form 8-K is incorporated by reference into this Item 5.03.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at the Effective Time the certificate of incorporation and the bylaws of the Company as in effect immediately prior to the Effective Time were each amended and restated in their entirety, as set forth in Exhibits 3.1 and 3.2, respectively, to this Current Report on Form 8-K, which are incorporated by reference into this Item 5.03.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w:t>
            </w:r>
            <w:r>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2">
              <w:r>
                <w:rPr>
                  <w:rStyle w:val="InternetLink"/>
                </w:rPr>
                <w:t xml:space="preserve">Agreement and Plan of Merger, dated as of May 31, 2026, by and among NCS Multistage Holdings, Inc., Weatherford International plc and Trinity Bell Sub, Inc. (incorporated herein by reference to Exhibit 2.1 to the Company’s Current Report on Form 8-K filed on June 2,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34761dex31.htm">
              <w:r>
                <w:rPr>
                  <w:rStyle w:val="InternetLink"/>
                </w:rPr>
                <w:t xml:space="preserve">Third Amended and Restated Certificate of Incorporation of NCS Multistage Holdings,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34761dex32.htm">
              <w:r>
                <w:rPr>
                  <w:rStyle w:val="InternetLink"/>
                </w:rPr>
                <w:t xml:space="preserve">Second Amended and Restated Bylaws of NCS Multistage Holdings, Inc.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annexes, schedules, and/or exhibits have been omitted pursuant to Item 601(a)(5), Item 601(b)(2), or Item 601(b)(10)(iv) of Regulation S-K. The registrant agrees to furnish supplementally a copy of any omitted attachment to the SEC upon request. </w:t>
            </w:r>
          </w:p>
        </w:tc>
      </w:tr>
    </w:tbl>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233" w:type="dxa"/>
        <w:jc w:val="left"/>
        <w:tblInd w:w="0" w:type="dxa"/>
        <w:tblLayout w:type="fixed"/>
        <w:tblCellMar>
          <w:top w:w="0" w:type="dxa"/>
          <w:left w:w="0" w:type="dxa"/>
          <w:bottom w:w="0" w:type="dxa"/>
          <w:right w:w="0" w:type="dxa"/>
        </w:tblCellMar>
      </w:tblPr>
      <w:tblGrid>
        <w:gridCol w:w="806"/>
        <w:gridCol w:w="72"/>
        <w:gridCol w:w="3355"/>
      </w:tblGrid>
      <w:tr>
        <w:trPr/>
        <w:tc>
          <w:tcPr>
            <w:tcW w:w="80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vAlign w:val="center"/>
          </w:tcPr>
          <w:p>
            <w:pPr>
              <w:pStyle w:val="TableContents"/>
              <w:bidi w:val="0"/>
              <w:spacing w:before="0" w:after="283"/>
              <w:jc w:val="left"/>
              <w:rPr>
                <w:b/>
              </w:rPr>
            </w:pPr>
            <w:r>
              <w:rPr>
                <w:b/>
              </w:rPr>
              <w:t>NCS MULTISTAGE HOLDINGS, INC.</w:t>
            </w:r>
          </w:p>
        </w:tc>
      </w:tr>
      <w:tr>
        <w:trPr/>
        <w:tc>
          <w:tcPr>
            <w:tcW w:w="806" w:type="dxa"/>
            <w:tcBorders/>
            <w:vAlign w:val="center"/>
          </w:tcPr>
          <w:p>
            <w:pPr>
              <w:pStyle w:val="TableContents"/>
              <w:bidi w:val="0"/>
              <w:spacing w:before="0" w:after="283"/>
              <w:jc w:val="left"/>
              <w:rPr>
                <w:sz w:val="4"/>
                <w:szCs w:val="4"/>
              </w:rPr>
            </w:pPr>
            <w:r>
              <w:rPr>
                <w:sz w:val="4"/>
                <w:szCs w:val="4"/>
              </w:rPr>
            </w:r>
          </w:p>
        </w:tc>
        <w:tc>
          <w:tcPr>
            <w:tcW w:w="3427" w:type="dxa"/>
            <w:gridSpan w:val="2"/>
            <w:tcBorders/>
            <w:vAlign w:val="center"/>
          </w:tcPr>
          <w:p>
            <w:pPr>
              <w:pStyle w:val="TableContents"/>
              <w:bidi w:val="0"/>
              <w:spacing w:before="0" w:after="283"/>
              <w:jc w:val="left"/>
              <w:rPr>
                <w:sz w:val="4"/>
                <w:szCs w:val="4"/>
              </w:rPr>
            </w:pPr>
            <w:r>
              <w:rPr>
                <w:sz w:val="4"/>
                <w:szCs w:val="4"/>
              </w:rPr>
            </w:r>
          </w:p>
        </w:tc>
      </w:tr>
      <w:tr>
        <w:trPr/>
        <w:tc>
          <w:tcPr>
            <w:tcW w:w="806" w:type="dxa"/>
            <w:tcBorders/>
            <w:vAlign w:val="center"/>
          </w:tcPr>
          <w:p>
            <w:pPr>
              <w:pStyle w:val="TableContents"/>
              <w:bidi w:val="0"/>
              <w:spacing w:before="0" w:after="283"/>
              <w:jc w:val="left"/>
              <w:rPr/>
            </w:pPr>
            <w:r>
              <w:rPr/>
              <w:t>By:</w:t>
            </w:r>
          </w:p>
        </w:tc>
        <w:tc>
          <w:tcPr>
            <w:tcW w:w="72" w:type="dxa"/>
            <w:tcBorders/>
            <w:vAlign w:val="center"/>
          </w:tcPr>
          <w:p>
            <w:pPr>
              <w:pStyle w:val="TableContents"/>
              <w:bidi w:val="0"/>
              <w:spacing w:before="0" w:after="283"/>
              <w:jc w:val="left"/>
              <w:rPr/>
            </w:pPr>
            <w:r>
              <w:rPr/>
              <w:t> </w:t>
            </w:r>
          </w:p>
        </w:tc>
        <w:tc>
          <w:tcPr>
            <w:tcW w:w="33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Beth Ann Dranguet</w:t>
            </w:r>
          </w:p>
        </w:tc>
      </w:tr>
      <w:tr>
        <w:trPr/>
        <w:tc>
          <w:tcPr>
            <w:tcW w:w="806" w:type="dxa"/>
            <w:tcBorders/>
            <w:vAlign w:val="center"/>
          </w:tcPr>
          <w:p>
            <w:pPr>
              <w:pStyle w:val="TableContents"/>
              <w:bidi w:val="0"/>
              <w:spacing w:before="0" w:after="283"/>
              <w:jc w:val="left"/>
              <w:rPr/>
            </w:pPr>
            <w:r>
              <w:rPr/>
              <w:t>Name:</w:t>
            </w:r>
          </w:p>
        </w:tc>
        <w:tc>
          <w:tcPr>
            <w:tcW w:w="72" w:type="dxa"/>
            <w:tcBorders/>
            <w:vAlign w:val="center"/>
          </w:tcPr>
          <w:p>
            <w:pPr>
              <w:pStyle w:val="TableContents"/>
              <w:bidi w:val="0"/>
              <w:spacing w:before="0" w:after="283"/>
              <w:jc w:val="left"/>
              <w:rPr/>
            </w:pPr>
            <w:r>
              <w:rPr/>
              <w:t> </w:t>
            </w:r>
          </w:p>
        </w:tc>
        <w:tc>
          <w:tcPr>
            <w:tcW w:w="3355" w:type="dxa"/>
            <w:tcBorders/>
            <w:vAlign w:val="center"/>
          </w:tcPr>
          <w:p>
            <w:pPr>
              <w:pStyle w:val="TableContents"/>
              <w:bidi w:val="0"/>
              <w:spacing w:before="0" w:after="283"/>
              <w:jc w:val="left"/>
              <w:rPr/>
            </w:pPr>
            <w:r>
              <w:rPr/>
              <w:t>Beth Ann Dranguet</w:t>
            </w:r>
          </w:p>
        </w:tc>
      </w:tr>
      <w:tr>
        <w:trPr/>
        <w:tc>
          <w:tcPr>
            <w:tcW w:w="806" w:type="dxa"/>
            <w:tcBorders/>
            <w:vAlign w:val="center"/>
          </w:tcPr>
          <w:p>
            <w:pPr>
              <w:pStyle w:val="TableContents"/>
              <w:bidi w:val="0"/>
              <w:spacing w:before="0" w:after="283"/>
              <w:jc w:val="left"/>
              <w:rPr/>
            </w:pPr>
            <w:r>
              <w:rPr/>
              <w:t>Title:</w:t>
            </w:r>
          </w:p>
        </w:tc>
        <w:tc>
          <w:tcPr>
            <w:tcW w:w="72" w:type="dxa"/>
            <w:tcBorders/>
            <w:vAlign w:val="center"/>
          </w:tcPr>
          <w:p>
            <w:pPr>
              <w:pStyle w:val="TableContents"/>
              <w:bidi w:val="0"/>
              <w:spacing w:before="0" w:after="283"/>
              <w:jc w:val="left"/>
              <w:rPr/>
            </w:pPr>
            <w:r>
              <w:rPr/>
              <w:t> </w:t>
            </w:r>
          </w:p>
        </w:tc>
        <w:tc>
          <w:tcPr>
            <w:tcW w:w="3355" w:type="dxa"/>
            <w:tcBorders/>
            <w:vAlign w:val="center"/>
          </w:tcPr>
          <w:p>
            <w:pPr>
              <w:pStyle w:val="TableContents"/>
              <w:bidi w:val="0"/>
              <w:spacing w:before="0" w:after="283"/>
              <w:jc w:val="left"/>
              <w:rPr/>
            </w:pPr>
            <w:r>
              <w:rPr/>
              <w:t>Vice President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 2026 </w:t>
      </w:r>
    </w:p>
    <w:p>
      <w:pPr>
        <w:pStyle w:val="TextBody"/>
        <w:bidi w:val="0"/>
        <w:spacing w:before="0" w:after="0"/>
        <w:jc w:val="right"/>
        <w:rPr>
          <w:rFonts w:ascii="Times New Roman" w:hAnsi="Times New Roman"/>
          <w:b/>
          <w:sz w:val="20"/>
        </w:rPr>
      </w:pPr>
      <w:bookmarkStart w:id="2" w:name="d534761dex31.htm"/>
      <w:bookmarkStart w:id="3" w:name="ksd534761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NCS MULTISTAGE HOLDINGS, INC. </w:t>
      </w:r>
    </w:p>
    <w:p>
      <w:pPr>
        <w:pStyle w:val="TextBody"/>
        <w:bidi w:val="0"/>
        <w:spacing w:before="240" w:after="0"/>
        <w:jc w:val="left"/>
        <w:rPr>
          <w:rFonts w:ascii="Times New Roman" w:hAnsi="Times New Roman"/>
          <w:sz w:val="20"/>
        </w:rPr>
      </w:pPr>
      <w:r>
        <w:rPr>
          <w:rFonts w:ascii="Times New Roman" w:hAnsi="Times New Roman"/>
          <w:sz w:val="20"/>
        </w:rPr>
        <w:t>1. The name of the corporation is NCS Multistage Holdings, Inc. (the “</w:t>
      </w:r>
      <w:r>
        <w:rPr>
          <w:rFonts w:ascii="Times New Roman" w:hAnsi="Times New Roman"/>
          <w:b/>
          <w:i/>
          <w:sz w:val="20"/>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Registered Office of the Corporation in the State of Delaware is located at Corporation Trust Center, 1209 Orange Street, in the City of Wilmington, County of New Castle, Zip Code 19801. The name of the Registered Agent at such address upon whom process against the Corporation may be served is The Corporation Trust Company. </w:t>
      </w:r>
    </w:p>
    <w:p>
      <w:pPr>
        <w:pStyle w:val="TextBody"/>
        <w:bidi w:val="0"/>
        <w:spacing w:before="240" w:after="0"/>
        <w:jc w:val="left"/>
        <w:rPr>
          <w:rFonts w:ascii="Times New Roman" w:hAnsi="Times New Roman"/>
          <w:sz w:val="20"/>
        </w:rPr>
      </w:pPr>
      <w:r>
        <w:rPr>
          <w:rFonts w:ascii="Times New Roman" w:hAnsi="Times New Roman"/>
          <w:sz w:val="20"/>
        </w:rPr>
        <w:t>3. The purpose of the Corporation is to engage in any lawful act or activity for which corporations may be organized under the Delaware General Corporation Law (the “</w:t>
      </w:r>
      <w:r>
        <w:rPr>
          <w:rFonts w:ascii="Times New Roman" w:hAnsi="Times New Roman"/>
          <w:b/>
          <w:i/>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The total amount of stock the Corporation is authorized to issue is 1,000 shares with a par value of $0.001 per share. </w:t>
      </w:r>
    </w:p>
    <w:p>
      <w:pPr>
        <w:pStyle w:val="TextBody"/>
        <w:bidi w:val="0"/>
        <w:spacing w:before="240" w:after="0"/>
        <w:jc w:val="left"/>
        <w:rPr>
          <w:rFonts w:ascii="Times New Roman" w:hAnsi="Times New Roman"/>
          <w:sz w:val="20"/>
        </w:rPr>
      </w:pPr>
      <w:r>
        <w:rPr>
          <w:rFonts w:ascii="Times New Roman" w:hAnsi="Times New Roman"/>
          <w:sz w:val="20"/>
        </w:rPr>
        <w:t xml:space="preserve">5. (a)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5(a), or adoption of any provision of this Certificate of Incorporation inconsistent with this Section 5(a),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 </w:t>
      </w:r>
    </w:p>
    <w:p>
      <w:pPr>
        <w:pStyle w:val="TextBody"/>
        <w:bidi w:val="0"/>
        <w:spacing w:before="240" w:after="0"/>
        <w:jc w:val="left"/>
        <w:rPr>
          <w:rFonts w:ascii="Times New Roman" w:hAnsi="Times New Roman"/>
          <w:sz w:val="20"/>
        </w:rPr>
      </w:pPr>
      <w:r>
        <w:rPr>
          <w:rFonts w:ascii="Times New Roman" w:hAnsi="Times New Roman"/>
          <w:sz w:val="20"/>
        </w:rPr>
        <w:t>(b) The Corporation shall indemnify, advance expenses to and hold harmless, to the fullest extent permitted by applicable law as it presently exists or may hereafter be amended, any person (“</w:t>
      </w:r>
      <w:r>
        <w:rPr>
          <w:rFonts w:ascii="Times New Roman" w:hAnsi="Times New Roman"/>
          <w:b/>
          <w:i/>
          <w:sz w:val="20"/>
        </w:rPr>
        <w:t>Indemnitee</w:t>
      </w:r>
      <w:r>
        <w:rPr>
          <w:rFonts w:ascii="Times New Roman" w:hAnsi="Times New Roman"/>
          <w:sz w:val="20"/>
        </w:rPr>
        <w:t xml:space="preserv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liability or expense is incurred for which indemnification, reimbursement, or advancement of expenses can be provided under this Section 5(b). “</w:t>
      </w:r>
      <w:r>
        <w:rPr>
          <w:rFonts w:ascii="Times New Roman" w:hAnsi="Times New Roman"/>
          <w:b/>
          <w:i/>
          <w:sz w:val="20"/>
        </w:rPr>
        <w:t>Enterprise</w:t>
      </w:r>
      <w:r>
        <w:rPr>
          <w:rFonts w:ascii="Times New Roman" w:hAnsi="Times New Roman"/>
          <w:sz w:val="20"/>
        </w:rPr>
        <w:t xml:space="preserve">”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 </w:t>
      </w:r>
    </w:p>
    <w:p>
      <w:pPr>
        <w:pStyle w:val="TextBody"/>
        <w:bidi w:val="0"/>
        <w:spacing w:before="240" w:after="0"/>
        <w:jc w:val="left"/>
        <w:rPr>
          <w:rFonts w:ascii="Times New Roman" w:hAnsi="Times New Roman"/>
          <w:sz w:val="20"/>
        </w:rPr>
      </w:pPr>
      <w:r>
        <w:rPr>
          <w:rFonts w:ascii="Times New Roman" w:hAnsi="Times New Roman"/>
          <w:sz w:val="20"/>
        </w:rPr>
        <w:t xml:space="preserve">(c) Neither any amendment nor repeal of this Section 5, nor the adoption of any provision of this Certificate of Incorporation inconsistent with this Section 5, shall eliminate or reduce the effect of this Section 5 in respect of any acts or omissions occurring prior to such alteration, amendment, addition to, repeal or adoption. </w:t>
      </w:r>
    </w:p>
    <w:p>
      <w:pPr>
        <w:pStyle w:val="TextBody"/>
        <w:bidi w:val="0"/>
        <w:spacing w:before="0" w:after="0"/>
        <w:jc w:val="right"/>
        <w:rPr>
          <w:rFonts w:ascii="Times New Roman" w:hAnsi="Times New Roman"/>
          <w:b/>
          <w:sz w:val="20"/>
        </w:rPr>
      </w:pPr>
      <w:bookmarkStart w:id="4" w:name="d534761dex32.htm"/>
      <w:bookmarkStart w:id="5" w:name="ksd534761dex32"/>
      <w:bookmarkEnd w:id="4"/>
      <w:bookmarkEnd w:id="5"/>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SECOND 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NCS MULTISTAGE HOLDINGS, INC. </w:t>
      </w:r>
    </w:p>
    <w:p>
      <w:pPr>
        <w:pStyle w:val="TextBody"/>
        <w:bidi w:val="0"/>
        <w:spacing w:before="12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Effective as of September 1, 2026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xml:space="preserve">Registered Office. </w:t>
      </w:r>
      <w:r>
        <w:rPr>
          <w:rFonts w:ascii="Times New Roman" w:hAnsi="Times New Roman"/>
          <w:sz w:val="20"/>
        </w:rPr>
        <w:t xml:space="preserve">The registered office of the corporation in the State of Delaware shall be in the City of Wilmington, County of New Castle, and the name of its registered agent shall be The Corporate Trust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 xml:space="preserve">Other Offices. </w:t>
      </w:r>
      <w:r>
        <w:rPr>
          <w:rFonts w:ascii="Times New Roman" w:hAnsi="Times New Roman"/>
          <w:sz w:val="20"/>
        </w:rPr>
        <w:t xml:space="preserve">The corporation may also have offices at such other places both within and without the State of Delaware as the Board of Directors may from time to time determine or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 xml:space="preserve">Place of Meeting. </w:t>
      </w:r>
      <w:r>
        <w:rPr>
          <w:rFonts w:ascii="Times New Roman" w:hAnsi="Times New Roman"/>
          <w:sz w:val="20"/>
        </w:rPr>
        <w:t xml:space="preserve">All meetings of stockholders for the election of directors shall be held at such place, either within or without the State of Delaware, as shall be designated from time to time by the Board of Directors and stated in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 xml:space="preserve">Annual Meeting. </w:t>
      </w:r>
      <w:r>
        <w:rPr>
          <w:rFonts w:ascii="Times New Roman" w:hAnsi="Times New Roman"/>
          <w:sz w:val="20"/>
        </w:rPr>
        <w:t xml:space="preserve">The annual meeting of stockholders shall be held at such date and time as shall be designated from time to time by the Board of Directors and stated in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 xml:space="preserve">Voting List. </w:t>
      </w:r>
      <w:r>
        <w:rPr>
          <w:rFonts w:ascii="Times New Roman" w:hAnsi="Times New Roman"/>
          <w:sz w:val="20"/>
        </w:rPr>
        <w:t xml:space="preserve">The officer who has charge of the stock ledger of the corporation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xml:space="preserve">Special Meeting. </w:t>
      </w:r>
      <w:r>
        <w:rPr>
          <w:rFonts w:ascii="Times New Roman" w:hAnsi="Times New Roman"/>
          <w:sz w:val="20"/>
        </w:rPr>
        <w:t xml:space="preserve">Special meetings of the stockholders, for any purpose or purposes, unless otherwise prescribed by statute or by the Certificate of Incorporation, may be called by the Chairman of the Board or by the President of the corporation or by the Board of Directors or by written order of a majority of the directors and shall be called by the President or the Secretary at the request in writing of stockholders owning a majority in amount of the entire capital stock of the corporation issued and outstanding and entitled to vote. Such request shall state the purposes of the proposed meeting. The Chairman of the Board or the President of the corporation or directors so calling, or the stockholders so requesting, any such meeting shall fix the time and any place, either within or without the State of Delaware, as the place for holding such meeting.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 xml:space="preserve">Notice of Meeting. </w:t>
      </w:r>
      <w:r>
        <w:rPr>
          <w:rFonts w:ascii="Times New Roman" w:hAnsi="Times New Roman"/>
          <w:sz w:val="20"/>
        </w:rPr>
        <w:t xml:space="preserve">Written notice of the annual, and each special meeting of stockholders, stating the time, place, and purpose or purposes thereof, shall be given to each stockholder entitled to vote thereat, not less than l0 nor more than 60 days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 xml:space="preserve">Quorum. </w:t>
      </w:r>
      <w:r>
        <w:rPr>
          <w:rFonts w:ascii="Times New Roman" w:hAnsi="Times New Roman"/>
          <w:sz w:val="20"/>
        </w:rPr>
        <w:t xml:space="preserve">The holders of a majority of the shares of the corporation’s capital stock issued and outstanding and entitled to vote thereat, present in person or represented by proxy, shall constitute a quorum at any meeting of stockholders for the transaction of business, except as otherwise provided by statute or by the Certificate of Incorporation. Notwithstanding the other provisions of the Certificate of Incorporation or these bylaws, the holders of a majority of the shares of the corporation’s capital stock entitled to vote thereat, present in person or represented by proxy, whether or not a quorum is present, shall have power to adjourn the meeting from time to time, without notice other than announcement at the meeting, until a quorum shall be present or represented.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 xml:space="preserve">Voting. </w:t>
      </w:r>
      <w:r>
        <w:rPr>
          <w:rFonts w:ascii="Times New Roman" w:hAnsi="Times New Roman"/>
          <w:sz w:val="20"/>
        </w:rPr>
        <w:t xml:space="preserve">When a quorum is present at any meeting of the stockholders, the vote of the holders of a majority of the shares of the corporation’s capital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Every stockholder having the right to vote shall be entitled to vote in person, or by proxy appointed by an instrument in writing subscribed by such stockholder, bearing a date not more than three years prior to voting, unless such instrument provides for a longer period, and filed with the Secretary of the corporation before, or at the time of, the meeting.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portion of the shares as he is of the proxies representing such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 xml:space="preserve">Consent of Stockholders. </w:t>
      </w:r>
      <w:r>
        <w:rPr>
          <w:rFonts w:ascii="Times New Roman" w:hAnsi="Times New Roman"/>
          <w:sz w:val="20"/>
        </w:rPr>
        <w:t xml:space="preserve">Whenever the vote of stockholders at a meeting thereof is required or permitted to be taken for or in connection with any corporate action by any provision of the statutes, the meeting and vote of stockholders may be dispensed with if all the stockholders who would have been entitled to vote upon the action if such meeting were held shall consent in writing to such corporate action being taken; or on the written consent of the holders of shares of the corporation’s capital stock having not less than the minimum percentage of the vote required by statute for the proposed corporate action, and provided that prompt notice must be given to all stockholders of the taking of corporate action without a meeting and by less than unanimous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xml:space="preserve">Voting of Stock of Certain Holders. </w:t>
      </w:r>
      <w:r>
        <w:rPr>
          <w:rFonts w:ascii="Times New Roman" w:hAnsi="Times New Roman"/>
          <w:sz w:val="20"/>
        </w:rPr>
        <w:t xml:space="preserve">Shares of the corporation’s capital stock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standing in the name of a guardian, conservator, or trustee may be voted by such fiduciary, either in person or by proxy, but no such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 xml:space="preserve">Treasury Stock. </w:t>
      </w:r>
      <w:r>
        <w:rPr>
          <w:rFonts w:ascii="Times New Roman" w:hAnsi="Times New Roman"/>
          <w:sz w:val="20"/>
        </w:rPr>
        <w:t xml:space="preserve">The corporation shall not vote, directly or indirectly, shares of its own capital stock owned by it; and such shares shall not be counted in determining the total number of outstanding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 xml:space="preserve">Fixing Record Date. </w:t>
      </w:r>
      <w:r>
        <w:rPr>
          <w:rFonts w:ascii="Times New Roman" w:hAnsi="Times New Roman"/>
          <w:sz w:val="20"/>
        </w:rPr>
        <w:t xml:space="preserve">The Board of Directors may fix in advance a date, which shall not be more than 60 days nor less than 10 days preceding the date of any meeting of stockholders, nor more than 60 days preceding the date for payment of any dividend or distribution, or the date for the allotment of rights, or the date when any change, or conversion or exchange of capital stock shall go into effect, or a date in connection with obtaining a consent, as a record date for the determination of the stockholders entitled to notice of, and to vote at, any such meeting and any adjournment thereof, or entitled to receive payment of any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 or distribution, or to receive such allotment of rights, or to exercise such rights, or to give such consent, as the case may be, notwithstanding any transfer of any stock on the books of the corporation after any such record date fixed as aforesaid.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 xml:space="preserve">Powers. </w:t>
      </w:r>
      <w:r>
        <w:rPr>
          <w:rFonts w:ascii="Times New Roman" w:hAnsi="Times New Roman"/>
          <w:sz w:val="20"/>
        </w:rPr>
        <w:t xml:space="preserve">The business and affairs of the corporation shall be  managed by its Board of Directors, which may exercise all such powers of the corporation and do all such lawful acts and things as are not by statute or by the Certificate of Incorporation or by these bylaws directed or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 xml:space="preserve">Number, Election and Tenn. </w:t>
      </w:r>
      <w:r>
        <w:rPr>
          <w:rFonts w:ascii="Times New Roman" w:hAnsi="Times New Roman"/>
          <w:sz w:val="20"/>
        </w:rPr>
        <w:t xml:space="preserve">The number of directors that shall constitute the whole Board of Directors shall be not less than one. Such number of directors shall from time to time be fixed and determined by the directors and shall be set forth in the notice of any meeting of stockholders held for the purpose of electing directors. The directors shall be elected at the annual meeting of stockholders, except as provided in Section 3.03, and each director elected shall hold office until his successor shall be elected and shall qualify. Directors need not be residents of Delaware or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i/>
          <w:sz w:val="20"/>
        </w:rPr>
        <w:t xml:space="preserve">Vacancies, Additional Directors, and Removal From Office. </w:t>
      </w:r>
      <w:r>
        <w:rPr>
          <w:rFonts w:ascii="Times New Roman" w:hAnsi="Times New Roman"/>
          <w:sz w:val="20"/>
        </w:rPr>
        <w:t xml:space="preserve">If any vacancy occurs in the Board of Directors caused by death, resignation, retirement, disqualification, or removal from office of any director, or otherwise, or if any new directorship is created by an increase in the authorized number of directors, a majority of the directors then in office, though less than a quorum, or a sole remaining director, may choose a successor or fill the newly created directorship; and a director so chosen shall hold office until the next election and until his successor shall be duly elected and shall qualify, unless sooner displaced. Any director may be removed either for or without cause at any special meeting of stockholders duly called and held for such purpose.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i/>
          <w:sz w:val="20"/>
        </w:rPr>
        <w:t xml:space="preserve">Regular Meeting. </w:t>
      </w:r>
      <w:r>
        <w:rPr>
          <w:rFonts w:ascii="Times New Roman" w:hAnsi="Times New Roman"/>
          <w:sz w:val="20"/>
        </w:rPr>
        <w:t xml:space="preserve">A regular meeting of the Board of Directors shall be held each year, without other notice than this bylaw, at the place of, and immediately following, the annual meeting of stockholders; and other regular meetings of the Board of Directors shall be held each year, at such time and place as the Board of Directors may provide, by resolution, either within or without the State of Delaware, without other notice than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i/>
          <w:sz w:val="20"/>
        </w:rPr>
        <w:t xml:space="preserve">Special Meeting. </w:t>
      </w:r>
      <w:r>
        <w:rPr>
          <w:rFonts w:ascii="Times New Roman" w:hAnsi="Times New Roman"/>
          <w:sz w:val="20"/>
        </w:rPr>
        <w:t xml:space="preserve">A special meeting of the Board of Directors may be called by the Chairman of the Board of Directors or by the President of the corporation and shall be called by the Secretary on the written request of any two directors. The Chairman or President so calling, or the directors so requesting, any such meeting shall fix the time and any place, either within or without the State of Delaware, as the place for holding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i/>
          <w:sz w:val="20"/>
        </w:rPr>
        <w:t xml:space="preserve">Notice of Special Meeting. </w:t>
      </w:r>
      <w:r>
        <w:rPr>
          <w:rFonts w:ascii="Times New Roman" w:hAnsi="Times New Roman"/>
          <w:sz w:val="20"/>
        </w:rPr>
        <w:t xml:space="preserve">Written notice of special meetings of the Board of Directors shall be given to each director at least 48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special meeting of the Board of Directors need be specified in the notice or waiver of notice of such meeting, except that notice shall be given of any proposed amendment to the bylaws if it is to be adopted at any special meeting or with respect to any other matter where notice is required by statute.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i/>
          <w:sz w:val="20"/>
        </w:rPr>
        <w:t xml:space="preserve">Quorum. </w:t>
      </w:r>
      <w:r>
        <w:rPr>
          <w:rFonts w:ascii="Times New Roman" w:hAnsi="Times New Roman"/>
          <w:sz w:val="20"/>
        </w:rPr>
        <w:t xml:space="preserve">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 of Directors, the directors present thereat may adjourn the meeting from time to time, without notice other than announcement at the meeting, until a quorum shall be present.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i/>
          <w:sz w:val="20"/>
        </w:rPr>
        <w:t xml:space="preserve">Action Without Meeting. </w:t>
      </w:r>
      <w:r>
        <w:rPr>
          <w:rFonts w:ascii="Times New Roman" w:hAnsi="Times New Roman"/>
          <w:sz w:val="20"/>
        </w:rPr>
        <w:t xml:space="preserve">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of Directors or of such committee, as the case may be, and such written consent is filed with the minutes of proceedings of the Board of Directors or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i/>
          <w:sz w:val="20"/>
        </w:rPr>
        <w:t xml:space="preserve">Compensation. </w:t>
      </w:r>
      <w:r>
        <w:rPr>
          <w:rFonts w:ascii="Times New Roman" w:hAnsi="Times New Roman"/>
          <w:sz w:val="20"/>
        </w:rPr>
        <w:t xml:space="preserve">Directors, as such, shall not be entitled to any stated salary for their services unless voted by the stockholders or the Board of Directors; but by resolution of the Board of Directors, a fixed sum and expenses of attendance, if any, may be allowed for attendance at each regular or special meeting of the Board of Directors or any meeting of a committee of directors. No provision of these bylaws shall be construed to preclude any director from serving the corporation in any other capacity and receiving compensation therefor.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COMMITTEE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 xml:space="preserve">Designation, Powers and Name. </w:t>
      </w:r>
      <w:r>
        <w:rPr>
          <w:rFonts w:ascii="Times New Roman" w:hAnsi="Times New Roman"/>
          <w:sz w:val="20"/>
        </w:rPr>
        <w:t xml:space="preserve">The Board of Directors may, by resolution passed by a majority of the whole Board of Directors, designate one or more committees, including, if they shall so determine, an Executive Committee, each such committee to consist of two or more of the directors of the corporation. The committee shall have and may exercise such of the powers of the Board of Directors in the management of the business and affairs of the corporation as may be provided in such resolution. The committee may authorize the seal of the corporation to be affixed to all papers that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resolution adopted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xml:space="preserve">Minutes. </w:t>
      </w:r>
      <w:r>
        <w:rPr>
          <w:rFonts w:ascii="Times New Roman" w:hAnsi="Times New Roman"/>
          <w:sz w:val="20"/>
        </w:rPr>
        <w:t xml:space="preserve">Each committee of directors shall keep regular minutes of its proceedings and report the same to the Board of Directors when required.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 xml:space="preserve">Compensation. </w:t>
      </w:r>
      <w:r>
        <w:rPr>
          <w:rFonts w:ascii="Times New Roman" w:hAnsi="Times New Roman"/>
          <w:sz w:val="20"/>
        </w:rPr>
        <w:t xml:space="preserve">Members of special or standing committees may be allowed compensation for attending committee meetings, if the Board of Directors shall so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 xml:space="preserve">Methods of Giving Notice. </w:t>
      </w:r>
      <w:r>
        <w:rPr>
          <w:rFonts w:ascii="Times New Roman" w:hAnsi="Times New Roman"/>
          <w:sz w:val="20"/>
        </w:rPr>
        <w:t xml:space="preserve">Whenever under the provisions of applicable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or telegram. If mailed, notice to a director, member of a committee, or stockholder shall be deemed to be given when deposited in the United States mail first class in a sealed envelope, with postage thereon prepaid, addressed, in the case of a stockholder, to the stockholder at the stockholder’s address as it appears on the records of the corporation or, in the case of a director or a member of a committee, to such person at his business address. If sent by telegraph, notice to a director or member of a committee shall be deemed to be given when the telegram, so addressed, is delivered to the telegraph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xml:space="preserve">Written Waiver. </w:t>
      </w:r>
      <w:r>
        <w:rPr>
          <w:rFonts w:ascii="Times New Roman" w:hAnsi="Times New Roman"/>
          <w:sz w:val="20"/>
        </w:rPr>
        <w:t xml:space="preserve">Whenever any notice is required to be given under the provisions of an applicable statute, the Certificate of Incorporation, or these bylaws, a waiver thereof in writing, signed by the person or persons entitled to said notice, whether before or after the time stated therein, shall be deemed equivalent thereto.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 xml:space="preserve">Officers. </w:t>
      </w:r>
      <w:r>
        <w:rPr>
          <w:rFonts w:ascii="Times New Roman" w:hAnsi="Times New Roman"/>
          <w:sz w:val="20"/>
        </w:rPr>
        <w:t xml:space="preserve">The officers of the corporation shall be a Chairman of the Board and a Vice Chairman of the Board (if such offices are created by the Board), a President, one or more Vice Presidents, any one or more of which may be designated Executive Vice President or Senior Vice President, a Secretary and a Treasurer. The Board of Directors may appoint such other officers and agents, including Assistant Vice Presidents, Assistant Secretaries, and Assistant Treasurers, in each case as the Board of Directors shall deem necessary, who shall hold their offices for such terms and shall exercise such powers and perform such duties as shall be determined by the Board. Any two or more offices may be held by the same person.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and Vice Chairman of the Board shall be elected from among the directors. With the foregoing exceptions, none of the other officers need be a director, and none of the officers need be a stockholder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 xml:space="preserve">Election and Term of Office. </w:t>
      </w:r>
      <w:r>
        <w:rPr>
          <w:rFonts w:ascii="Times New Roman" w:hAnsi="Times New Roman"/>
          <w:sz w:val="20"/>
        </w:rPr>
        <w:t xml:space="preserve">The officers of the corporation shall be elected annually by the Board of Directors at its first regular meeting held after the annual meeting of stockholders or as soon thereafter as conveniently possible. Each officer shall hold office until his successor shall have been chosen and shall have qualified or until his death or the effective date of his resignation or removal, or until he shall cease to be a director in the case of the Chairman and the Vice Chairman.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 xml:space="preserve">Removal and Resignation. </w:t>
      </w:r>
      <w:r>
        <w:rPr>
          <w:rFonts w:ascii="Times New Roman" w:hAnsi="Times New Roman"/>
          <w:sz w:val="20"/>
        </w:rPr>
        <w:t xml:space="preserve">Any officer or agent elected or appointed by the Board of Directors may be removed without cause by the affirmative vote of a majority of the Board of Directors whenever, in its judgment, the best interests of the corporation shall be served thereby, but such removal shall be without prejudice to the contractual rights, if any, of the person so removed.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 xml:space="preserve">Vacancies. </w:t>
      </w:r>
      <w:r>
        <w:rPr>
          <w:rFonts w:ascii="Times New Roman" w:hAnsi="Times New Roman"/>
          <w:sz w:val="20"/>
        </w:rPr>
        <w:t xml:space="preserve">Any vacancy occurring in any office of the corporation by death, resignation, removal, or otherwise, may be filled by the Board of Directors for the unexpired portion of the term.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 xml:space="preserve">Salaries. </w:t>
      </w:r>
      <w:r>
        <w:rPr>
          <w:rFonts w:ascii="Times New Roman" w:hAnsi="Times New Roman"/>
          <w:sz w:val="20"/>
        </w:rPr>
        <w:t xml:space="preserve">The salaries of all officers and agents of the corporation shall be fixed by the Board of Directors or pursuant to its direction; and no officer shall be prevented from receiving such salary by reason of his also being a director.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 xml:space="preserve">Chairman of the Board. </w:t>
      </w:r>
      <w:r>
        <w:rPr>
          <w:rFonts w:ascii="Times New Roman" w:hAnsi="Times New Roman"/>
          <w:sz w:val="20"/>
        </w:rPr>
        <w:t xml:space="preserve">The Chairman of the Board (if such office is created by the Board) shall preside at all meetings of the Board of Directors or of the stockholders of the corporation. The Chairman shall formulate and submit to the Board of Directors or the Executive Committee matters of general policy for the corporation and shall perform such other duties as usually appertain to the office or as may be prescribed by the Board of Directors or the Executive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 xml:space="preserve">Vice Chairman of the Board. </w:t>
      </w:r>
      <w:r>
        <w:rPr>
          <w:rFonts w:ascii="Times New Roman" w:hAnsi="Times New Roman"/>
          <w:sz w:val="20"/>
        </w:rPr>
        <w:t xml:space="preserve">The Vice Chairman of the Board (if such office is created by the Board) shall, in the absence or disability of the Chairman of the Board, perform the duties and exercise the powers of the Chairman of the Board. The Vice Chairman shall perform such other duties as from time to time may be prescribed by the Board of Directors or the Executive Committee or assigned by the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 xml:space="preserve">President. </w:t>
      </w:r>
      <w:r>
        <w:rPr>
          <w:rFonts w:ascii="Times New Roman" w:hAnsi="Times New Roman"/>
          <w:sz w:val="20"/>
        </w:rPr>
        <w:t xml:space="preserve">The President shall be the chief executive officer of the corporation and, subject to the control of the Board of Directors, shall in general supervise and control the business and affairs of the corporation. In the absence of the Chairman of the Board or the Vice Chairman of the Board (if such offices are created by the Board), the President shall preside at all meetings of the Board of Directors and of the stockholders. He may also preside at any such meeting attended by the Chairman or Vice Chairman of the Board if he is so designated by the Chairman, or in the Chairman’s absence by the Vice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Chairman. He shall have the power to appoint and remove subordinate officers, agents and employees, except those elected or appointed by the Board of Directors. The President shall keep the Board of Directors and the Executive Committee fully informed and shall consult them concerning the business of the corporation. He may sign with the Secretary or any other officer of the corporation thereunto authorized by the Board of Directors, certificates for shares of the corporation and any deeds, bonds, mortgages, contracts, checks, notes, drafts, or other instruments that the Board of Directors has authorized to be executed, except in cases where the signing and execution thereof has been expressly delegated by these bylaws or by the Board of Directors to some other officer or agent of the corporation, or shall be required by law to be otherwise executed. He shall vote, or give a proxy to any other officer of the corporation to vote, all shares of stock of any other corporation standing in the name of the corporation and in general he shall perform all other duties normally incident to the office of President and such other duties as may be prescribed by the stockholders, the Board of Directors, or the Executive Committee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 xml:space="preserve">Vice Presidents. </w:t>
      </w:r>
      <w:r>
        <w:rPr>
          <w:rFonts w:ascii="Times New Roman" w:hAnsi="Times New Roman"/>
          <w:sz w:val="20"/>
        </w:rPr>
        <w:t xml:space="preserve">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Any Vice President may sign, with the Secretary or Assistant Secretary, certificates for shares of the corporation. The Vice Presidents shall perform such other duties as from time to time may be assigned to them by the President, the Board of Directors or the Executive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 xml:space="preserve">Secretary. </w:t>
      </w:r>
      <w:r>
        <w:rPr>
          <w:rFonts w:ascii="Times New Roman" w:hAnsi="Times New Roman"/>
          <w:sz w:val="20"/>
        </w:rPr>
        <w:t xml:space="preserve">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perform all duties normally incident to the office of Secretary and such other duties as from time to time may be assigned to him by the President, the Board of Directors or the Executive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 xml:space="preserve">Treasurer. </w:t>
      </w:r>
      <w:r>
        <w:rPr>
          <w:rFonts w:ascii="Times New Roman" w:hAnsi="Times New Roman"/>
          <w:sz w:val="20"/>
        </w:rPr>
        <w:t xml:space="preserve">If required by the Board of Directors, the Treasurer shall give a bond for the faithful discharge of his duties in such sum and with such surety or sureties as the Board of Directors shall determine. He shall (a) have charge and custody of and be responsible for all funds and securities of the corporation; (b) receive and give receipts for moneys due and payable to the corporation from any source whatsoever and deposit all such moneys in the name of the corporation in such banks, trust companies, or other depositories as shall be selected in accordance with the provisions of Section 7.03 of these bylaws; (c) prepare, or cause to be prepared, for submission at each regular meeting of the Board of Directors, at each annual meeting of the stockholders, and at such other times as may be required by the Board of Directors, the President or the Executive Committee, a statement of financial condition of the corporation in such detail as may be required; and (d) in general, perform all the duties incident to the office of Treasurer and such other duties as from time to time may be assigned to him by the President, the Board of Directors or the Executive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i/>
          <w:sz w:val="20"/>
        </w:rPr>
        <w:t xml:space="preserve">Assistant Secretary and Treasurer. </w:t>
      </w:r>
      <w:r>
        <w:rPr>
          <w:rFonts w:ascii="Times New Roman" w:hAnsi="Times New Roman"/>
          <w:sz w:val="20"/>
        </w:rPr>
        <w:t xml:space="preserve">The Assistant Secretaries and Assistant Treasurers shall, in general, perform such duties as shall be assigned to them by the Secretary or the Treasurer, respectively, or by the President, the Board of Directors, or the Executive Committee. The Assistant Secretaries and Assistant Treasurers shall, in the absence of the Secretary or Treasurer, respectively, perform all functions and duties which such absent officers may delegate, but such delegation shall not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CONTRACTS, CHECKS AND DEPOSITS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xml:space="preserve">Contracts. </w:t>
      </w:r>
      <w:r>
        <w:rPr>
          <w:rFonts w:ascii="Times New Roman" w:hAnsi="Times New Roman"/>
          <w:sz w:val="20"/>
        </w:rPr>
        <w:t xml:space="preserve">Subject to the provisions of Section 6.01, the Board of Directors may authorize any officer, officers, agent, or agents, to enter into any contract or execute and deliver any instrument in the name of and on behalf of the corporation, and such authority may be general or confined to specific instances.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 xml:space="preserve">Checks. </w:t>
      </w:r>
      <w:r>
        <w:rPr>
          <w:rFonts w:ascii="Times New Roman" w:hAnsi="Times New Roman"/>
          <w:sz w:val="20"/>
        </w:rPr>
        <w:t xml:space="preserve">All checks, demands, drafts, or other orders for the payment of money, notes, or other evidences of indebtedness issued in the name of the corporation, shall be signed by such officer or officers or such agent or agents of the corporation, and in such manner, as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xml:space="preserve">Deposits. </w:t>
      </w:r>
      <w:r>
        <w:rPr>
          <w:rFonts w:ascii="Times New Roman" w:hAnsi="Times New Roman"/>
          <w:sz w:val="20"/>
        </w:rPr>
        <w:t xml:space="preserve">All funds of the corporation not otherwise employed shall be deposited from time to time to the credit of the corporation in such banks, trust companies, or other depositories as the Board of Directors may select.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CERTIFICATES OF STOCK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Certificates for Stock</w:t>
      </w:r>
      <w:r>
        <w:rPr>
          <w:rFonts w:ascii="Times New Roman" w:hAnsi="Times New Roman"/>
          <w:sz w:val="20"/>
        </w:rPr>
        <w:t xml:space="preserve">. The shares of stock of the corporation shall not be represented by certificates, unless the Board of Directors by resolution provides otherwise. If authorized by the Board of Directors, any certificate representing shares of stock shall comply with the requirement of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Records</w:t>
      </w:r>
      <w:r>
        <w:rPr>
          <w:rFonts w:ascii="Times New Roman" w:hAnsi="Times New Roman"/>
          <w:sz w:val="20"/>
        </w:rPr>
        <w:t xml:space="preserve">. A record or registry shall be kept of the respective names of the persons or entities owning shares of stock of the corporation, the number of shares held by such persons or entities and the respective dates of issuance thereof, and in case of cancellation of any certificated shares, the respective dates of cancellation. Unless the Board of Directors by resolution otherwise provides, every share of stock represented by a certificate surrendered to the corporation for exchange or transfer shall be cancelled and a new certificate or certificates shall not be issued in exchange thereof, and any subsequent holder of such shares of stock shares of stock shall instead be recorded in the official registry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Transfers of Stock</w:t>
      </w:r>
      <w:r>
        <w:rPr>
          <w:rFonts w:ascii="Times New Roman" w:hAnsi="Times New Roman"/>
          <w:sz w:val="20"/>
        </w:rPr>
        <w:t xml:space="preserve">. Transfers of shares of the stock of the corporation shall be made only on the records or registry of the corporation (a) at the request of (i) the registered holder thereof, or (ii) an attorney of a registered holder pursuant to a duly executed power of attorney filed with the Secretary of the corporation, or with a transfer agent appointed by or on behalf of the Board of Directors, or (b) upon compliance with any other procedures established by the Board of Directors for transferring shares in uncertificated form, and, upon payment of all taxes thereon and, in the case of certificated shares, upon surrender of the certificate or certificates for such shares properly endorsed or receipt of an affidavit that such certificate has been lost. The person in whose name shares of stock stand on the records and registry of the corporation shall be deemed the owner thereof for all purposes as regards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Regulations</w:t>
      </w:r>
      <w:r>
        <w:rPr>
          <w:rFonts w:ascii="Times New Roman" w:hAnsi="Times New Roman"/>
          <w:sz w:val="20"/>
        </w:rPr>
        <w:t xml:space="preserve">. The Board of Directors may make such rules and regulations as it may deem expedient, not inconsistent with these Bylaws, concerning the issue, transfer and registration of shares of stock of the corporation. The Board of Directors may appoint, or authorize any officer or officers to appoint, one or more transfer agents and one or more registrars for any shares of stock of the corporation, any of whom may be employees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Lost, Destroyed and Mutilated Certificates.</w:t>
      </w:r>
      <w:r>
        <w:rPr>
          <w:rFonts w:ascii="Times New Roman" w:hAnsi="Times New Roman"/>
          <w:sz w:val="20"/>
        </w:rPr>
        <w:t xml:space="preserve"> The owner of any certificated shares of stock of the corporation shall immediately notify the corporation of any loss, destruction or mutilation of the certificate therefor, and the corporation shall issue uncertificated shares of stock in the place of any certificate theretofore issued by it alleged to have been lost or destroyed, and the Board of Directors, in its sole discretion, acting through the officers of the corporation, may require the owner of the lost or destroyed certificate, or his or her legal representatives, to give the corporation a bond in such sum, limited or unlimited, and in such form and with such surety or sureties, as the Board of Directors shall determine, and to indemnify the corporation against any claim that may be made against it on account of the alleged loss or destruction of any such certificate, or the issuance of such new uncertificated shares of stock.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xml:space="preserve">Declaration. </w:t>
      </w:r>
      <w:r>
        <w:rPr>
          <w:rFonts w:ascii="Times New Roman" w:hAnsi="Times New Roman"/>
          <w:sz w:val="20"/>
        </w:rPr>
        <w:t xml:space="preserve">Dividends with respect to the shares of the corporation’s capital stock, subject to the provisions of the Certificate of Incorporation, if any, may be declared by the Board of Directors at any regular or special meeting, pursuant to applicable law. Dividends may be paid in cash, in property, or in shares of capital stock, subject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xml:space="preserve">Reserve. </w:t>
      </w:r>
      <w:r>
        <w:rPr>
          <w:rFonts w:ascii="Times New Roman" w:hAnsi="Times New Roman"/>
          <w:sz w:val="20"/>
        </w:rPr>
        <w:t xml:space="preserve">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sz w:val="20"/>
        </w:rPr>
      </w:pPr>
      <w:r>
        <w:rPr>
          <w:rFonts w:ascii="Times New Roman" w:hAnsi="Times New Roman"/>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 xml:space="preserve">Third Party Actions. </w:t>
      </w:r>
      <w:r>
        <w:rPr>
          <w:rFonts w:ascii="Times New Roman" w:hAnsi="Times New Roman"/>
          <w:sz w:val="20"/>
        </w:rPr>
        <w:t xml:space="preserve">The corporation shall indemnify any director or officer of the corporation, and may indemnify any other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cause to believe his conduct was unlawful. The termination of any action, suit, or proceeding by judgment, order, settlement, or conviction, or upon a plea of </w:t>
      </w:r>
      <w:r>
        <w:rPr>
          <w:rFonts w:ascii="Times New Roman" w:hAnsi="Times New Roman"/>
          <w:i/>
          <w:sz w:val="20"/>
        </w:rPr>
        <w:t xml:space="preserve">nolo contendere </w:t>
      </w:r>
      <w:r>
        <w:rPr>
          <w:rFonts w:ascii="Times New Roman" w:hAnsi="Times New Roman"/>
          <w:sz w:val="20"/>
        </w:rPr>
        <w:t xml:space="preserve">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 xml:space="preserve">Actions by or in the Right of the Corporation. </w:t>
      </w:r>
      <w:r>
        <w:rPr>
          <w:rFonts w:ascii="Times New Roman" w:hAnsi="Times New Roman"/>
          <w:sz w:val="20"/>
        </w:rPr>
        <w:t xml:space="preserve">The corporation shall indemnify any director or officer and may indemnify any other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as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 xml:space="preserve">Mandatory Indemnification. </w:t>
      </w:r>
      <w:r>
        <w:rPr>
          <w:rFonts w:ascii="Times New Roman" w:hAnsi="Times New Roman"/>
          <w:sz w:val="20"/>
        </w:rPr>
        <w:t xml:space="preserve">To the extent that a director, officer, employee, or agent of the corporation has been successful on the merits or otherwise in defense of any action, suit, or proceeding referred to in Sections 10.01 and 10.02, or in defense of any claim, issue, or matter therein, he shall be indemnified against expenses (including attorneys’ fees) actually and reasonably incurred by him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 xml:space="preserve">Determination of Conduct. </w:t>
      </w:r>
      <w:r>
        <w:rPr>
          <w:rFonts w:ascii="Times New Roman" w:hAnsi="Times New Roman"/>
          <w:sz w:val="20"/>
        </w:rPr>
        <w:t xml:space="preserve">The determination that a director, officer, employee, or agent has met the applicable standard of conduct set forth in Sections 10.01 and 10.02 (unless indemnification is ordered by a court) shall be made (1) by the Board of Directors by a majority vote of a quorum consisting of directors who were not parties to such action, suit, or proceeding, or (2) if such quorum is not obtainable, or, even if obtainable a quorum of disinterested directors so directs, by independent legal counsel in a written opinion, or (3)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 xml:space="preserve">Payment of Expenses in Advance. </w:t>
      </w:r>
      <w:r>
        <w:rPr>
          <w:rFonts w:ascii="Times New Roman" w:hAnsi="Times New Roman"/>
          <w:sz w:val="20"/>
        </w:rPr>
        <w:t xml:space="preserve">Expenses incurred in defending a civil or criminal action, suit, or proceeding shall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SECTION 10.06. </w:t>
      </w:r>
      <w:r>
        <w:rPr>
          <w:rFonts w:ascii="Times New Roman" w:hAnsi="Times New Roman"/>
          <w:i/>
          <w:sz w:val="20"/>
        </w:rPr>
        <w:t xml:space="preserve">Indemnity Not Exclusive. </w:t>
      </w:r>
      <w:r>
        <w:rPr>
          <w:rFonts w:ascii="Times New Roman" w:hAnsi="Times New Roman"/>
          <w:sz w:val="20"/>
        </w:rPr>
        <w:t xml:space="preserve">The indemnification and advancement of expenses provided or granted hereunder shall not be deemed exclusive of any other rights to which those seeking indemnification or advancement of expenses may be entitled under the Certificate of Incorporation, any other bylaw, agreement, vote of stockholders, or disinterested directors or otherwise, both as to action in his official capacity and as to action in another capacity while holding such office.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10.07. </w:t>
      </w:r>
      <w:r>
        <w:rPr>
          <w:rFonts w:ascii="Times New Roman" w:hAnsi="Times New Roman"/>
          <w:i/>
          <w:sz w:val="20"/>
        </w:rPr>
        <w:t xml:space="preserve">Definitions. </w:t>
      </w:r>
      <w:r>
        <w:rPr>
          <w:rFonts w:ascii="Times New Roman" w:hAnsi="Times New Roman"/>
          <w:sz w:val="20"/>
        </w:rPr>
        <w:t xml:space="preserve">For purposes of this Article X: </w:t>
      </w:r>
    </w:p>
    <w:p>
      <w:pPr>
        <w:pStyle w:val="TextBody"/>
        <w:bidi w:val="0"/>
        <w:spacing w:before="120" w:after="0"/>
        <w:jc w:val="left"/>
        <w:rPr>
          <w:rFonts w:ascii="Times New Roman" w:hAnsi="Times New Roman"/>
          <w:sz w:val="20"/>
        </w:rPr>
      </w:pPr>
      <w:r>
        <w:rPr>
          <w:rFonts w:ascii="Times New Roman" w:hAnsi="Times New Roman"/>
          <w:sz w:val="20"/>
        </w:rPr>
        <w:t xml:space="preserve">(a)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X with respect to the resulting or surviving corporation as he would have with respect to such constituent corporation if its separate existence had continued; </w:t>
      </w:r>
    </w:p>
    <w:p>
      <w:pPr>
        <w:pStyle w:val="TextBody"/>
        <w:bidi w:val="0"/>
        <w:spacing w:before="120" w:after="0"/>
        <w:jc w:val="left"/>
        <w:rPr>
          <w:rFonts w:ascii="Times New Roman" w:hAnsi="Times New Roman"/>
          <w:sz w:val="20"/>
        </w:rPr>
      </w:pPr>
      <w:r>
        <w:rPr>
          <w:rFonts w:ascii="Times New Roman" w:hAnsi="Times New Roman"/>
          <w:sz w:val="20"/>
        </w:rPr>
        <w:t xml:space="preserve">(b) “other enterprises” shall include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(c) “fines” shall include any excise taxes assessed on a person with respect to any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(d)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w:t>
      </w:r>
    </w:p>
    <w:p>
      <w:pPr>
        <w:pStyle w:val="TextBody"/>
        <w:bidi w:val="0"/>
        <w:spacing w:before="120" w:after="0"/>
        <w:jc w:val="left"/>
        <w:rPr>
          <w:rFonts w:ascii="Times New Roman" w:hAnsi="Times New Roman"/>
          <w:sz w:val="20"/>
        </w:rPr>
      </w:pPr>
      <w:r>
        <w:rPr>
          <w:rFonts w:ascii="Times New Roman" w:hAnsi="Times New Roman"/>
          <w:sz w:val="20"/>
        </w:rPr>
        <w:t xml:space="preserve">(e)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SECTION 10.08. </w:t>
      </w:r>
      <w:r>
        <w:rPr>
          <w:rFonts w:ascii="Times New Roman" w:hAnsi="Times New Roman"/>
          <w:i/>
          <w:sz w:val="20"/>
        </w:rPr>
        <w:t xml:space="preserve">Continuation of Indemnity. </w:t>
      </w:r>
      <w:r>
        <w:rPr>
          <w:rFonts w:ascii="Times New Roman" w:hAnsi="Times New Roman"/>
          <w:sz w:val="20"/>
        </w:rPr>
        <w:t xml:space="preserve">The indemnification and advancement of expenses provided or granted hereunder shall, unless otherwise provided when authorized or ratified, continue as to a person who has ceased to be a director, officer, employee, or agent and shall inure to the benefit of the heirs, executors, and administrators of such a person.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 xml:space="preserve">Seal. </w:t>
      </w:r>
      <w:r>
        <w:rPr>
          <w:rFonts w:ascii="Times New Roman" w:hAnsi="Times New Roman"/>
          <w:sz w:val="20"/>
        </w:rPr>
        <w:t xml:space="preserve">The corporate seal, if one is authorized by the Board of Directors, shall have inscribed thereon the name of the corporation, and the words “Corporate Seal, Delaware.” The seal may be used by causing it or a facsimile thereof to be impressed or affixed or otherwise reproduced.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 xml:space="preserve">Books. </w:t>
      </w:r>
      <w:r>
        <w:rPr>
          <w:rFonts w:ascii="Times New Roman" w:hAnsi="Times New Roman"/>
          <w:sz w:val="20"/>
        </w:rPr>
        <w:t xml:space="preserve">The books of the corporation may be kept (subject to any provision contained in the statutes) outside the State of Delaware at the offices of the corporation in Houston, Texas, or at such other place or places as may be designated from time to time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120" w:after="0"/>
        <w:jc w:val="center"/>
        <w:rPr>
          <w:rFonts w:ascii="Times New Roman" w:hAnsi="Times New Roman"/>
          <w:sz w:val="20"/>
        </w:rPr>
      </w:pPr>
      <w:r>
        <w:rPr>
          <w:rFonts w:ascii="Times New Roman" w:hAnsi="Times New Roman"/>
          <w:sz w:val="20"/>
        </w:rPr>
        <w:t xml:space="preserve">AMENDMENT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by a majority of the number of directors then constituting the Board of Directors at any regular meeting of the Board of Directors without prior notice, or at any special meeting of the Board of Directors if notice of such alteration, amendment, or repeal be contained in the notice of such special meeting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92427/000119312526252096/d23867d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10416</Words>
  <Characters>52909</Characters>
  <CharactersWithSpaces>63321</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