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csm20260331_10q.htm"/>
      <w:bookmarkStart w:id="1" w:name="ksncsm20260331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10-Q</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w:t>
      </w:r>
    </w:p>
    <w:p>
      <w:pPr>
        <w:pStyle w:val="TextBody"/>
        <w:bidi w:val="0"/>
        <w:spacing w:before="0" w:after="0"/>
        <w:ind w:left="8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______</w:t>
      </w:r>
      <w:r>
        <w:rPr>
          <w:rFonts w:ascii="Times New Roman" w:hAnsi="Times New Roman"/>
          <w:caps w:val="false"/>
          <w:smallCaps w:val="false"/>
          <w:sz w:val="20"/>
        </w:rPr>
        <w:t>  </w:t>
      </w:r>
      <w:r>
        <w:rPr>
          <w:rFonts w:ascii="Times New Roman" w:hAnsi="Times New Roman"/>
          <w:b/>
          <w:caps w:val="false"/>
          <w:smallCaps w:val="false"/>
          <w:sz w:val="20"/>
        </w:rPr>
        <w:t xml:space="preserve">to </w:t>
      </w:r>
      <w:r>
        <w:rPr>
          <w:rFonts w:ascii="Times New Roman" w:hAnsi="Times New Roman"/>
          <w:caps w:val="false"/>
          <w:smallCaps w:val="false"/>
          <w:sz w:val="20"/>
        </w:rPr>
        <w:t> </w:t>
      </w:r>
      <w:r>
        <w:rPr>
          <w:rFonts w:ascii="Times New Roman" w:hAnsi="Times New Roman"/>
          <w:b/>
          <w:caps w:val="false"/>
          <w:smallCaps w:val="false"/>
          <w:sz w:val="20"/>
        </w:rPr>
        <w:t>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001-38071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3200"/>
        <w:gridCol w:w="60"/>
        <w:gridCol w:w="1850"/>
        <w:gridCol w:w="60"/>
      </w:tblGrid>
      <w:tr>
        <w:trPr/>
        <w:tc>
          <w:tcPr>
            <w:tcW w:w="60" w:type="dxa"/>
            <w:tcBorders/>
            <w:vAlign w:val="center"/>
          </w:tcPr>
          <w:p>
            <w:pPr>
              <w:pStyle w:val="TableContents"/>
              <w:bidi w:val="0"/>
              <w:spacing w:before="0" w:after="283"/>
              <w:jc w:val="left"/>
              <w:rPr/>
            </w:pPr>
            <w:r>
              <w:rPr/>
              <w:t> </w:t>
            </w:r>
          </w:p>
        </w:tc>
        <w:tc>
          <w:tcPr>
            <w:tcW w:w="32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46-1527455</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number)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19350 State Highway 249, Suite 600</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Houston, Texas </w:t>
            </w:r>
          </w:p>
        </w:tc>
        <w:tc>
          <w:tcPr>
            <w:tcW w:w="60" w:type="dxa"/>
            <w:tcBorders/>
            <w:vAlign w:val="center"/>
          </w:tcPr>
          <w:p>
            <w:pPr>
              <w:pStyle w:val="TableContents"/>
              <w:bidi w:val="0"/>
              <w:spacing w:before="0" w:after="283"/>
              <w:jc w:val="left"/>
              <w:rPr/>
            </w:pPr>
            <w:r>
              <w:rPr/>
              <w:t> </w:t>
            </w:r>
          </w:p>
        </w:tc>
        <w:tc>
          <w:tcPr>
            <w:tcW w:w="1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77070</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(281) 453-2222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2630"/>
        <w:gridCol w:w="1610"/>
        <w:gridCol w:w="3695"/>
      </w:tblGrid>
      <w:tr>
        <w:trPr/>
        <w:tc>
          <w:tcPr>
            <w:tcW w:w="26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6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NCSM</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60"/>
        <w:gridCol w:w="1820"/>
        <w:gridCol w:w="350"/>
        <w:gridCol w:w="2225"/>
        <w:gridCol w:w="230"/>
        <w:gridCol w:w="60"/>
      </w:tblGrid>
      <w:tr>
        <w:trPr/>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35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3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April 27, 2026, there were 2,624,523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875"/>
        <w:gridCol w:w="7280"/>
        <w:gridCol w:w="440"/>
      </w:tblGrid>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595" w:type="dxa"/>
            <w:gridSpan w:val="3"/>
            <w:tcBorders/>
            <w:vAlign w:val="center"/>
          </w:tcPr>
          <w:p>
            <w:pPr>
              <w:pStyle w:val="TableContents"/>
              <w:bidi w:val="0"/>
              <w:spacing w:before="0" w:after="0"/>
              <w:ind w:left="0" w:right="0" w:hanging="0"/>
              <w:jc w:val="center"/>
              <w:rPr/>
            </w:pPr>
            <w:hyperlink w:anchor="partone">
              <w:r>
                <w:rPr>
                  <w:rStyle w:val="InternetLink"/>
                  <w:rFonts w:ascii="Times New Roman" w:hAnsi="Times New Roman"/>
                  <w:caps w:val="false"/>
                  <w:smallCaps w:val="false"/>
                  <w:sz w:val="20"/>
                </w:rPr>
                <w:t>PART I. FINANCIAL INFORMATION</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b/>
                  <w:caps w:val="false"/>
                  <w:smallCaps w:val="false"/>
                  <w:sz w:val="20"/>
                </w:rPr>
                <w:t>Financial Statements (Unaudited)</w:t>
              </w:r>
            </w:hyperlink>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180" w:right="0" w:hanging="18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180" w:right="0" w:hanging="180"/>
              <w:jc w:val="right"/>
              <w:rPr/>
            </w:pPr>
            <w:hyperlink w:anchor="b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0"/>
              <w:ind w:left="0" w:right="0" w:hanging="0"/>
              <w:jc w:val="right"/>
              <w:rPr/>
            </w:pPr>
            <w:hyperlink w:anchor="ops">
              <w:r>
                <w:rPr>
                  <w:rStyle w:val="InternetLink"/>
                  <w:rFonts w:ascii="Times New Roman" w:hAnsi="Times New Roman"/>
                  <w:caps w:val="false"/>
                  <w:smallCaps w:val="false"/>
                  <w:sz w:val="20"/>
                </w:rPr>
                <w:t>4</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ompinc">
              <w:r>
                <w:rPr>
                  <w:rStyle w:val="InternetLink"/>
                  <w:rFonts w:ascii="Times New Roman" w:hAnsi="Times New Roman"/>
                  <w:caps w:val="false"/>
                  <w:smallCaps w:val="false"/>
                  <w:sz w:val="20"/>
                </w:rPr>
                <w:t>Condensed Consolidated Statements of Comprehensive (Loss) Income</w:t>
              </w:r>
            </w:hyperlink>
          </w:p>
        </w:tc>
        <w:tc>
          <w:tcPr>
            <w:tcW w:w="440" w:type="dxa"/>
            <w:tcBorders/>
            <w:vAlign w:val="center"/>
          </w:tcPr>
          <w:p>
            <w:pPr>
              <w:pStyle w:val="TableContents"/>
              <w:bidi w:val="0"/>
              <w:spacing w:before="0" w:after="0"/>
              <w:ind w:left="0" w:right="0" w:hanging="0"/>
              <w:jc w:val="right"/>
              <w:rPr/>
            </w:pPr>
            <w:hyperlink w:anchor="compinc">
              <w:r>
                <w:rPr>
                  <w:rStyle w:val="InternetLink"/>
                  <w:rFonts w:ascii="Times New Roman" w:hAnsi="Times New Roman"/>
                  <w:caps w:val="false"/>
                  <w:smallCaps w:val="false"/>
                  <w:sz w:val="20"/>
                </w:rPr>
                <w:t>5</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se">
              <w:r>
                <w:rPr>
                  <w:rStyle w:val="InternetLink"/>
                  <w:rFonts w:ascii="Times New Roman" w:hAnsi="Times New Roman"/>
                  <w:caps w:val="false"/>
                  <w:smallCaps w:val="false"/>
                  <w:sz w:val="20"/>
                </w:rPr>
                <w:t>6</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20"/>
                </w:rPr>
                <w:t>7</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8</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21</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uant">
              <w:r>
                <w:rPr>
                  <w:rStyle w:val="InternetLink"/>
                  <w:rFonts w:ascii="Times New Roman" w:hAnsi="Times New Roman"/>
                  <w:caps w:val="false"/>
                  <w:smallCaps w:val="false"/>
                  <w:sz w:val="20"/>
                </w:rPr>
                <w:t>34</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34</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595" w:type="dxa"/>
            <w:gridSpan w:val="3"/>
            <w:tcBorders/>
            <w:vAlign w:val="center"/>
          </w:tcPr>
          <w:p>
            <w:pPr>
              <w:pStyle w:val="TableContents"/>
              <w:bidi w:val="0"/>
              <w:spacing w:before="0" w:after="0"/>
              <w:ind w:left="0" w:right="0" w:hanging="0"/>
              <w:jc w:val="center"/>
              <w:rPr/>
            </w:pPr>
            <w:hyperlink w:anchor="parttwo">
              <w:r>
                <w:rPr>
                  <w:rStyle w:val="InternetLink"/>
                  <w:rFonts w:ascii="Times New Roman" w:hAnsi="Times New Roman"/>
                  <w:caps w:val="false"/>
                  <w:smallCaps w:val="false"/>
                  <w:sz w:val="20"/>
                </w:rPr>
                <w:t>PART II. OTHER INFORMATION</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35</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w:t>
            </w:r>
          </w:p>
        </w:tc>
        <w:tc>
          <w:tcPr>
            <w:tcW w:w="72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35</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b/>
              </w:rPr>
            </w:pPr>
            <w:r>
              <w:rPr>
                <w:b/>
              </w:rPr>
              <w:t>Item 5.</w:t>
            </w:r>
          </w:p>
        </w:tc>
        <w:tc>
          <w:tcPr>
            <w:tcW w:w="7280" w:type="dxa"/>
            <w:tcBorders/>
            <w:vAlign w:val="center"/>
          </w:tcPr>
          <w:p>
            <w:pPr>
              <w:pStyle w:val="TableContents"/>
              <w:bidi w:val="0"/>
              <w:spacing w:before="0" w:after="283"/>
              <w:jc w:val="left"/>
              <w:rPr/>
            </w:pPr>
            <w:hyperlink w:anchor="otherinfo">
              <w:r>
                <w:rPr>
                  <w:rStyle w:val="InternetLink"/>
                </w:rPr>
                <w:t>Other Information</w:t>
              </w:r>
            </w:hyperlink>
          </w:p>
        </w:tc>
        <w:tc>
          <w:tcPr>
            <w:tcW w:w="440" w:type="dxa"/>
            <w:tcBorders/>
            <w:vAlign w:val="center"/>
          </w:tcPr>
          <w:p>
            <w:pPr>
              <w:pStyle w:val="TableContents"/>
              <w:bidi w:val="0"/>
              <w:spacing w:before="0" w:after="283"/>
              <w:jc w:val="right"/>
              <w:rPr/>
            </w:pPr>
            <w:hyperlink w:anchor="otherinfo">
              <w:r>
                <w:rPr>
                  <w:rStyle w:val="InternetLink"/>
                </w:rPr>
                <w:t>35</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w:t>
            </w:r>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36</w:t>
              </w:r>
            </w:hyperlink>
          </w:p>
        </w:tc>
      </w:tr>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20"/>
                </w:rPr>
                <w:t>37</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one"/>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caps w:val="false"/>
          <w:smallCaps w:val="false"/>
          <w:sz w:val="20"/>
        </w:rPr>
      </w:pPr>
      <w:bookmarkStart w:id="4" w:name="finstmts"/>
      <w:bookmarkEnd w:id="4"/>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caps w:val="false"/>
          <w:smallCaps w:val="false"/>
          <w:sz w:val="20"/>
        </w:rPr>
        <w:t>Financial Statements</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47"/>
        <w:gridCol w:w="60"/>
        <w:gridCol w:w="125"/>
        <w:gridCol w:w="755"/>
        <w:gridCol w:w="80"/>
        <w:gridCol w:w="60"/>
        <w:gridCol w:w="139"/>
        <w:gridCol w:w="843"/>
        <w:gridCol w:w="96"/>
      </w:tblGrid>
      <w:tr>
        <w:trPr/>
        <w:tc>
          <w:tcPr>
            <w:tcW w:w="80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receivable—trade,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40,507</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39,011</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75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p>
        </w:tc>
        <w:tc>
          <w:tcPr>
            <w:tcW w:w="84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121,918</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19,849</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16,387</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Identifiable intangibles,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5,989</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11,653</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59,281</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181,199</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8,517</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9,461</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Contingent purchase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4,175</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28,526</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less current maturities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5,259</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long-term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3,716</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9,575</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38,101</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$0.01 par value, 10,000,000 shares authorized, no shares issued and outstanding at March 31, 2026 and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 11,250,000 shares authorized, 2,719,733 shares issued and 2,624,523 shares outstanding at March 31, 2026 and 2,613,603 shares issued and 2,545,535 shares outstanding at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449,890</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(86,132</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(235,276</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7" w:type="dxa"/>
            <w:tcBorders/>
            <w:shd w:fill="FFFF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95,210 shares at March 31, 2026 and 68,068 shares at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126,239</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16,859</w:t>
            </w:r>
          </w:p>
        </w:tc>
        <w:tc>
          <w:tcPr>
            <w:tcW w:w="96" w:type="dxa"/>
            <w:tcBorders/>
            <w:shd w:fill="FFFFFF" w:val="clear"/>
            <w:vAlign w:val="center"/>
          </w:tcPr>
          <w:p>
            <w:pPr>
              <w:pStyle w:val="TableContents"/>
              <w:bidi w:val="0"/>
              <w:spacing w:before="0" w:after="283"/>
              <w:jc w:val="left"/>
              <w:rPr/>
            </w:pPr>
            <w:r>
              <w:rPr/>
              <w:t> </w:t>
            </w:r>
          </w:p>
        </w:tc>
      </w:tr>
      <w:tr>
        <w:trPr/>
        <w:tc>
          <w:tcPr>
            <w:tcW w:w="804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143,098</w:t>
            </w:r>
          </w:p>
        </w:tc>
        <w:tc>
          <w:tcPr>
            <w:tcW w:w="96" w:type="dxa"/>
            <w:tcBorders/>
            <w:shd w:fill="CCEEFF" w:val="clear"/>
            <w:vAlign w:val="center"/>
          </w:tcPr>
          <w:p>
            <w:pPr>
              <w:pStyle w:val="TableContents"/>
              <w:bidi w:val="0"/>
              <w:spacing w:before="0" w:after="283"/>
              <w:jc w:val="left"/>
              <w:rPr/>
            </w:pPr>
            <w:r>
              <w:rPr/>
              <w:t> </w:t>
            </w:r>
          </w:p>
        </w:tc>
      </w:tr>
      <w:tr>
        <w:trPr/>
        <w:tc>
          <w:tcPr>
            <w:tcW w:w="804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181,199</w:t>
            </w:r>
          </w:p>
        </w:tc>
        <w:tc>
          <w:tcPr>
            <w:tcW w:w="9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 w:name="ops"/>
      <w:bookmarkEnd w:id="6"/>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998" w:type="dxa"/>
        <w:jc w:val="left"/>
        <w:tblInd w:w="0" w:type="dxa"/>
        <w:tblLayout w:type="fixed"/>
        <w:tblCellMar>
          <w:top w:w="0" w:type="dxa"/>
          <w:left w:w="0" w:type="dxa"/>
          <w:bottom w:w="0" w:type="dxa"/>
          <w:right w:w="0" w:type="dxa"/>
        </w:tblCellMar>
      </w:tblPr>
      <w:tblGrid>
        <w:gridCol w:w="7100"/>
        <w:gridCol w:w="60"/>
        <w:gridCol w:w="140"/>
        <w:gridCol w:w="661"/>
        <w:gridCol w:w="89"/>
        <w:gridCol w:w="67"/>
        <w:gridCol w:w="140"/>
        <w:gridCol w:w="661"/>
        <w:gridCol w:w="80"/>
      </w:tblGrid>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32,583</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35,066</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14,939</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45,637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50,005</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19,729</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20,352</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 shown below</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7,798</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28,150</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16,195</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loss,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5,127</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4,056</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earnings per common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 earnings per common share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(loss) earnings per common share attributable to NCS Multistage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2,629</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2,629</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compinc"/>
      <w:bookmarkEnd w:id="7"/>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051" w:type="dxa"/>
        <w:jc w:val="left"/>
        <w:tblInd w:w="0" w:type="dxa"/>
        <w:tblLayout w:type="fixed"/>
        <w:tblCellMar>
          <w:top w:w="0" w:type="dxa"/>
          <w:left w:w="0" w:type="dxa"/>
          <w:bottom w:w="0" w:type="dxa"/>
          <w:right w:w="0" w:type="dxa"/>
        </w:tblCellMar>
      </w:tblPr>
      <w:tblGrid>
        <w:gridCol w:w="6155"/>
        <w:gridCol w:w="60"/>
        <w:gridCol w:w="161"/>
        <w:gridCol w:w="627"/>
        <w:gridCol w:w="103"/>
        <w:gridCol w:w="77"/>
        <w:gridCol w:w="161"/>
        <w:gridCol w:w="627"/>
        <w:gridCol w:w="80"/>
      </w:tblGrid>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w:t>
            </w:r>
          </w:p>
        </w:tc>
        <w:tc>
          <w:tcPr>
            <w:tcW w:w="8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 net of tax of $0</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4,443</w:t>
            </w:r>
          </w:p>
        </w:tc>
        <w:tc>
          <w:tcPr>
            <w:tcW w:w="8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8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 income attributable to NCS Multistage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se"/>
      <w:bookmarkEnd w:id="8"/>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985" w:type="dxa"/>
        <w:jc w:val="left"/>
        <w:tblInd w:w="0" w:type="dxa"/>
        <w:tblLayout w:type="fixed"/>
        <w:tblCellMar>
          <w:top w:w="0" w:type="dxa"/>
          <w:left w:w="0" w:type="dxa"/>
          <w:bottom w:w="0" w:type="dxa"/>
          <w:right w:w="0" w:type="dxa"/>
        </w:tblCellMar>
      </w:tblPr>
      <w:tblGrid>
        <w:gridCol w:w="980"/>
        <w:gridCol w:w="60"/>
        <w:gridCol w:w="93"/>
        <w:gridCol w:w="407"/>
        <w:gridCol w:w="60"/>
        <w:gridCol w:w="60"/>
        <w:gridCol w:w="179"/>
        <w:gridCol w:w="426"/>
        <w:gridCol w:w="60"/>
        <w:gridCol w:w="60"/>
        <w:gridCol w:w="60"/>
        <w:gridCol w:w="740"/>
        <w:gridCol w:w="60"/>
        <w:gridCol w:w="60"/>
        <w:gridCol w:w="179"/>
        <w:gridCol w:w="426"/>
        <w:gridCol w:w="60"/>
        <w:gridCol w:w="60"/>
        <w:gridCol w:w="120"/>
        <w:gridCol w:w="665"/>
        <w:gridCol w:w="80"/>
        <w:gridCol w:w="60"/>
        <w:gridCol w:w="181"/>
        <w:gridCol w:w="949"/>
        <w:gridCol w:w="80"/>
        <w:gridCol w:w="60"/>
        <w:gridCol w:w="110"/>
        <w:gridCol w:w="665"/>
        <w:gridCol w:w="80"/>
        <w:gridCol w:w="60"/>
        <w:gridCol w:w="60"/>
        <w:gridCol w:w="575"/>
        <w:gridCol w:w="80"/>
        <w:gridCol w:w="60"/>
        <w:gridCol w:w="111"/>
        <w:gridCol w:w="494"/>
        <w:gridCol w:w="80"/>
        <w:gridCol w:w="60"/>
        <w:gridCol w:w="206"/>
        <w:gridCol w:w="969"/>
        <w:gridCol w:w="60"/>
        <w:gridCol w:w="60"/>
        <w:gridCol w:w="146"/>
        <w:gridCol w:w="804"/>
        <w:gridCol w:w="80"/>
      </w:tblGrid>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5" w:type="dxa"/>
            <w:gridSpan w:val="4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March 31, 2026</w:t>
            </w:r>
          </w:p>
        </w:tc>
        <w:tc>
          <w:tcPr>
            <w:tcW w:w="8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br/>
              <w:t xml:space="preserve">Stockholders' </w:t>
            </w:r>
          </w:p>
        </w:tc>
        <w:tc>
          <w:tcPr>
            <w:tcW w:w="8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Equity</w:t>
            </w:r>
          </w:p>
        </w:tc>
        <w:tc>
          <w:tcPr>
            <w:tcW w:w="8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2,613,603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449,890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(86,132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(235,276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(68,068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143,098</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490</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1,741</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stock</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March 31, 2026</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2,719,733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(86,583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(95,210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143,804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965" w:type="dxa"/>
        <w:jc w:val="left"/>
        <w:tblInd w:w="0" w:type="dxa"/>
        <w:tblLayout w:type="fixed"/>
        <w:tblCellMar>
          <w:top w:w="0" w:type="dxa"/>
          <w:left w:w="0" w:type="dxa"/>
          <w:bottom w:w="0" w:type="dxa"/>
          <w:right w:w="0" w:type="dxa"/>
        </w:tblCellMar>
      </w:tblPr>
      <w:tblGrid>
        <w:gridCol w:w="980"/>
        <w:gridCol w:w="60"/>
        <w:gridCol w:w="93"/>
        <w:gridCol w:w="407"/>
        <w:gridCol w:w="60"/>
        <w:gridCol w:w="60"/>
        <w:gridCol w:w="179"/>
        <w:gridCol w:w="426"/>
        <w:gridCol w:w="60"/>
        <w:gridCol w:w="60"/>
        <w:gridCol w:w="60"/>
        <w:gridCol w:w="740"/>
        <w:gridCol w:w="60"/>
        <w:gridCol w:w="60"/>
        <w:gridCol w:w="179"/>
        <w:gridCol w:w="426"/>
        <w:gridCol w:w="60"/>
        <w:gridCol w:w="60"/>
        <w:gridCol w:w="120"/>
        <w:gridCol w:w="665"/>
        <w:gridCol w:w="60"/>
        <w:gridCol w:w="60"/>
        <w:gridCol w:w="181"/>
        <w:gridCol w:w="949"/>
        <w:gridCol w:w="80"/>
        <w:gridCol w:w="60"/>
        <w:gridCol w:w="110"/>
        <w:gridCol w:w="665"/>
        <w:gridCol w:w="80"/>
        <w:gridCol w:w="60"/>
        <w:gridCol w:w="60"/>
        <w:gridCol w:w="575"/>
        <w:gridCol w:w="80"/>
        <w:gridCol w:w="60"/>
        <w:gridCol w:w="111"/>
        <w:gridCol w:w="494"/>
        <w:gridCol w:w="80"/>
        <w:gridCol w:w="60"/>
        <w:gridCol w:w="206"/>
        <w:gridCol w:w="969"/>
        <w:gridCol w:w="60"/>
        <w:gridCol w:w="60"/>
        <w:gridCol w:w="146"/>
        <w:gridCol w:w="804"/>
        <w:gridCol w:w="80"/>
      </w:tblGrid>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45" w:type="dxa"/>
            <w:gridSpan w:val="4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March 31, 2025</w:t>
            </w:r>
          </w:p>
        </w:tc>
        <w:tc>
          <w:tcPr>
            <w:tcW w:w="8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Treasury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br/>
              <w:t xml:space="preserve">Stockholders' </w:t>
            </w:r>
          </w:p>
        </w:tc>
        <w:tc>
          <w:tcPr>
            <w:tcW w:w="8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Equity</w:t>
            </w:r>
          </w:p>
        </w:tc>
        <w:tc>
          <w:tcPr>
            <w:tcW w:w="80"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December 31,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2,563,979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447,384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(87,604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(259,024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(56,549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116,109</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552</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4,454</w:t>
            </w:r>
          </w:p>
        </w:tc>
        <w:tc>
          <w:tcPr>
            <w:tcW w:w="8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stock</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4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49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6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4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49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6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Currency translation adjustment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as of March 31, 2025</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2,607,362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447,936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(87,615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(254,968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120,836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 w:name="cf"/>
      <w:bookmarkEnd w:id="9"/>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268" w:type="dxa"/>
        <w:jc w:val="left"/>
        <w:tblInd w:w="0" w:type="dxa"/>
        <w:tblLayout w:type="fixed"/>
        <w:tblCellMar>
          <w:top w:w="0" w:type="dxa"/>
          <w:left w:w="0" w:type="dxa"/>
          <w:bottom w:w="0" w:type="dxa"/>
          <w:right w:w="0" w:type="dxa"/>
        </w:tblCellMar>
      </w:tblPr>
      <w:tblGrid>
        <w:gridCol w:w="7370"/>
        <w:gridCol w:w="60"/>
        <w:gridCol w:w="140"/>
        <w:gridCol w:w="661"/>
        <w:gridCol w:w="89"/>
        <w:gridCol w:w="67"/>
        <w:gridCol w:w="140"/>
        <w:gridCol w:w="661"/>
        <w:gridCol w:w="80"/>
      </w:tblGrid>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loan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inventory obsolescence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foreign currency unrealized loss (gain)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receivable—trade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1,963</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(4,560</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(3,727</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receivable/payable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development of software and technology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 of credit borrowings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1,963</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line of credit 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contingent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shares withheld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(2,937</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(2,267</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25,880</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34,458</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22,997</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obtained in exchange for new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obtained in exchange for new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hanging="0"/>
        <w:jc w:val="left"/>
        <w:rPr/>
      </w:pPr>
      <w:bookmarkStart w:id="10" w:name="notes"/>
      <w:bookmarkEnd w:id="10"/>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1.</w:t>
      </w:r>
      <w:r>
        <w:rPr>
          <w:rFonts w:ascii="Times New Roman;Times;serif" w:hAnsi="Times New Roman;Times;serif"/>
          <w:sz w:val="20"/>
        </w:rPr>
        <w:t>  </w:t>
      </w:r>
      <w:r>
        <w:rPr>
          <w:rFonts w:ascii="Times New Roman;Times;serif" w:hAnsi="Times New Roman;Times;serif"/>
          <w:b/>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Nature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NCS Multistage Holdings, Inc., a Delaware corporation, through its wholly owned subsidiaries and subsidiaries for which it has a controlling voting interest (collectively referred to as the “Company,” “NCS,” “we,” “our” and “us”), is primarily engaged in providing engineered products and support services for oil and natural gas well construction, well completion and field development strategies. We offer our products and services primarily to exploration and production (“E&amp;P”) companies for use both in onshore and offshore wells. We operate through service facilities principally located in Houston and Odessa, Texas; Tulsa and Oklahoma City, Oklahoma; Calgary, Red Deer, Grande Prairie and Estevan, Canada; Neuquén, Argentina; Aberdeen, United Kingdom and Stavanger, Norway.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Our accompanying condensed consolidated financial statements have been prepared in accordance with accounting principles generally accepted in the United States (“GAAP”) for interim financial information and with the instructions to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-Q and Article </w:t>
      </w:r>
      <w:r>
        <w:rPr>
          <w:rStyle w:val="Emphasis"/>
          <w:rFonts w:ascii="Times New Roman;Times;serif" w:hAnsi="Times New Roman;Times;serif"/>
          <w:caps w:val="false"/>
          <w:smallCaps w:val="false"/>
          <w:sz w:val="20"/>
        </w:rPr>
        <w:t>8</w:t>
      </w:r>
      <w:r>
        <w:rPr>
          <w:rFonts w:ascii="Times New Roman;Times;serif" w:hAnsi="Times New Roman;Times;serif"/>
          <w:caps w:val="false"/>
          <w:smallCaps w:val="false"/>
          <w:sz w:val="20"/>
        </w:rPr>
        <w:t xml:space="preserve"> of Regulation S-</w:t>
      </w:r>
      <w:r>
        <w:rPr>
          <w:rStyle w:val="Emphasis"/>
          <w:rFonts w:ascii="Times New Roman;Times;serif" w:hAnsi="Times New Roman;Times;serif"/>
          <w:caps w:val="false"/>
          <w:smallCaps w:val="false"/>
          <w:sz w:val="20"/>
        </w:rPr>
        <w:t>X</w:t>
      </w:r>
      <w:r>
        <w:rPr>
          <w:rFonts w:ascii="Times New Roman;Times;serif" w:hAnsi="Times New Roman;Times;serif"/>
          <w:caps w:val="false"/>
          <w:smallCaps w:val="false"/>
          <w:sz w:val="20"/>
        </w:rPr>
        <w:t xml:space="preserve"> of the Securities Exchange Act of </w:t>
      </w:r>
      <w:r>
        <w:rPr>
          <w:rStyle w:val="Emphasis"/>
          <w:rFonts w:ascii="Times New Roman;Times;serif" w:hAnsi="Times New Roman;Times;serif"/>
          <w:caps w:val="false"/>
          <w:smallCaps w:val="false"/>
          <w:sz w:val="20"/>
        </w:rPr>
        <w:t>1934,</w:t>
      </w:r>
      <w:r>
        <w:rPr>
          <w:rFonts w:ascii="Times New Roman;Times;serif" w:hAnsi="Times New Roman;Times;serif"/>
          <w:caps w:val="false"/>
          <w:smallCaps w:val="false"/>
          <w:sz w:val="20"/>
        </w:rPr>
        <w:t xml:space="preserve"> as amended, issued by the Securities Exchange Commission (“SEC”) and have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been audited by our independent registered public accounting firm. Certain information and footnote disclosures normally included in financial statements prepared in accordance with GAAP have been condensed or omitted. These condensed consolidated financial statements should be read in conjunction with our financial statements and related notes thereto included in our Annual Report on Form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-K for the year ended </w:t>
      </w:r>
      <w:r>
        <w:rPr>
          <w:rStyle w:val="Emphasis"/>
          <w:rFonts w:ascii="Times New Roman;Times;serif" w:hAnsi="Times New Roman;Times;serif"/>
          <w:caps w:val="false"/>
          <w:smallCaps w:val="false"/>
          <w:sz w:val="20"/>
        </w:rPr>
        <w:t>December 31,</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(“Annual Report”). We consolidate Repeat Precision, LLC and its subsidiary (“Repeat Precision”), an entity in which we own a 50% interest and have a controlling voting interest, operating in the United States and Mexico. The other party’s 50% ownership interest is presented separately as a non-controlling interest. In the opinion of management, these condensed consolidated financial statements reflect all normal, recurring adjustments necessary for a fair statement of the interim periods presented. The results of operations for interim periods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necessarily indicative of those for a full year. All intercompany accounts and transactions have been eliminated for purposes of preparing these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Significant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Our significant accounting policies are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Summary of Significant Accounting Policies” in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September 2025,</w:t>
      </w:r>
      <w:r>
        <w:rPr>
          <w:rFonts w:ascii="Times New Roman" w:hAnsi="Times New Roman"/>
          <w:caps w:val="false"/>
          <w:smallCaps w:val="false"/>
          <w:sz w:val="20"/>
        </w:rPr>
        <w:t xml:space="preserve"> the Financial Accounting Standards Board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 xml:space="preserve">Intangibles-Goodwill and Other-Internal-Use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xml:space="preserve">): Targeted Improvements to the Accounting for Internal-Use Software. </w:t>
      </w:r>
      <w:r>
        <w:rPr>
          <w:rFonts w:ascii="Times New Roman" w:hAnsi="Times New Roman"/>
          <w:caps w:val="false"/>
          <w:smallCaps w:val="false"/>
          <w:sz w:val="20"/>
        </w:rPr>
        <w:t xml:space="preserve">This ASU modernizes the accounting for internal-use software costs to be less prescriptive, allowing capitalization once management has authorized and committed to a software project that is deemed probable to complete, without significant development uncertainty. In addition, this pronouncement clarifies that certain disclosures for capitalized internal-use software intangible assets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and amends existing guidance on website development cost. The new standard is effective for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and interim reporting periods within those annual reporting periods. Early adoption is permitted. We are currently evaluating the impact of the adoption of this guidance.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Statement-Reporting Comprehensive Income-Expense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This ASU requires additional disclosure of certain costs and expenses within the notes to the financial statements. The new standard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We are currently evaluating the impact of the adoption of this guidance.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Acquisition</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 w:hAnsi="Times New Roman"/>
          <w:sz w:val="20"/>
        </w:rPr>
        <w:t xml:space="preserve">On </w:t>
      </w:r>
      <w:r>
        <w:rPr>
          <w:rStyle w:val="Emphasis"/>
          <w:rFonts w:ascii="Times New Roman" w:hAnsi="Times New Roman"/>
          <w:sz w:val="20"/>
        </w:rPr>
        <w:t xml:space="preserve">July 31, 2025, </w:t>
      </w:r>
      <w:r>
        <w:rPr>
          <w:rFonts w:ascii="Times New Roman" w:hAnsi="Times New Roman"/>
          <w:sz w:val="20"/>
        </w:rPr>
        <w:t>we acquired 100% of the equity interests of Reservoir Metrics, LLC, and its related entities (“ResMetrics”), a provider of tracer diagnostics services, for $7.1 million, on a cash-free, debt-free basis. Purchase consideration consisted of $5.8 million in cash, including a working capital adjustment, $0.3 million of debt assumed and a $1.1 million initial estimate of contingent consideration, payable solely depending on changes in international trade tariffs for certain chemical imports from the date of acquisition through the measurement date of </w:t>
      </w:r>
      <w:r>
        <w:rPr>
          <w:rStyle w:val="Emphasis"/>
          <w:rFonts w:ascii="Times New Roman" w:hAnsi="Times New Roman"/>
          <w:sz w:val="20"/>
        </w:rPr>
        <w:t xml:space="preserve"> December 31, 2025.</w:t>
      </w:r>
      <w:r>
        <w:rPr>
          <w:rFonts w:ascii="Times New Roman" w:hAnsi="Times New Roman"/>
          <w:sz w:val="20"/>
        </w:rPr>
        <w:t> We remeasured the contingent consideration and increased this liability to $1.3 million, presented separately on the accompanying balance sheet, and recognized the change in fair value of the contingent consideration as an expense of $0.2 million during the </w:t>
      </w:r>
      <w:r>
        <w:rPr>
          <w:rStyle w:val="Emphasis"/>
          <w:rFonts w:ascii="Times New Roman" w:hAnsi="Times New Roman"/>
          <w:sz w:val="20"/>
        </w:rPr>
        <w:t>fourth</w:t>
      </w:r>
      <w:r>
        <w:rPr>
          <w:rFonts w:ascii="Times New Roman" w:hAnsi="Times New Roman"/>
          <w:sz w:val="20"/>
        </w:rPr>
        <w:t xml:space="preserve"> quarter of </w:t>
      </w:r>
      <w:r>
        <w:rPr>
          <w:rStyle w:val="Emphasis"/>
          <w:rFonts w:ascii="Times New Roman" w:hAnsi="Times New Roman"/>
          <w:sz w:val="20"/>
        </w:rPr>
        <w:t>2025.</w:t>
      </w:r>
      <w:r>
        <w:rPr>
          <w:rFonts w:ascii="Times New Roman" w:hAnsi="Times New Roman"/>
          <w:sz w:val="20"/>
        </w:rPr>
        <w:t xml:space="preserve"> The contingent consideration was paid in </w:t>
      </w:r>
      <w:r>
        <w:rPr>
          <w:rStyle w:val="Emphasis"/>
          <w:rFonts w:ascii="Times New Roman" w:hAnsi="Times New Roman"/>
          <w:sz w:val="20"/>
        </w:rPr>
        <w:t xml:space="preserve">January 2026. </w:t>
      </w:r>
      <w:r>
        <w:rPr>
          <w:rFonts w:ascii="Times New Roman" w:hAnsi="Times New Roman"/>
          <w:sz w:val="20"/>
        </w:rPr>
        <w:t>We believe the purchase of ResMetrics further expands and complements our existing tracer diagnostics offerings.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purchase price was allocated to the estimated fair value of assets acquired and liabilities assumed as of the acquisition date. Goodwill was calculated as the excess of consideration transferred over the fair value of the net assets recognized. The fair value of the assets and liabilities of ResMetrics were determined utilizing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valuation for certain long-term assets and intangibles, as well as various estimates and assumptions that we deemed reasonable based on available information. The purchase price allocation was finalized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recognized goodwill of $1.2 million associated with this transaction, which we expect to be fully deductible for income tax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Total acquisition costs associated with the ResMetrics acquisition was $0.2 million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of which $0.1 million was incurred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and is included as general and administrative expense in the accompanying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presents the purchase price allocation as of the acquisition date for the ResMetrics business combination (in thousands):</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3725"/>
        <w:gridCol w:w="60"/>
        <w:gridCol w:w="125"/>
        <w:gridCol w:w="545"/>
        <w:gridCol w:w="80"/>
      </w:tblGrid>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7,853</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assumed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estimate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Cash acquired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7,146</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 price allocation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3,192</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identifiable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7,162</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identifiable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5,981</w:t>
            </w:r>
          </w:p>
        </w:tc>
        <w:tc>
          <w:tcPr>
            <w:tcW w:w="8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w:t>
            </w:r>
          </w:p>
        </w:tc>
        <w:tc>
          <w:tcPr>
            <w:tcW w:w="8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 w:hAnsi="Times New Roman"/>
          <w:caps w:val="false"/>
          <w:smallCaps w:val="false"/>
          <w:sz w:val="20"/>
        </w:rPr>
        <w:t xml:space="preserve">Definite-lived intangible assets acquired were $3.2 million, primarily associated with customer relationships. The intangible assets are amortized on a straight-line basis over the estimated useful lives of approximately six years, resulting in amortization expense of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ResMetrics contributed revenue and loss before tax of $1.8 million and $(0.2) million, respectively, to our consolidated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have prepared unaudited pro forma information, as if the acquisition occurred 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based on available information and certain assumptions we believe are reasonable, including: (i) adjustments for depreciation and amortization of the fair value of acquired intangibles and fixed assets, (ii) accounting policy conforming changes, (iii) elimination of interest income that could have been earned on invested cash associated with the purchase price, (iv) tax effect on earnings of ResMetrics and pro forma adjustments assuming a statutory rate of </w:t>
      </w:r>
      <w:r>
        <w:rPr>
          <w:rStyle w:val="Emphasis"/>
          <w:rFonts w:ascii="Times New Roman" w:hAnsi="Times New Roman"/>
          <w:caps w:val="false"/>
          <w:smallCaps w:val="false"/>
          <w:sz w:val="20"/>
        </w:rPr>
        <w:t>21%,</w:t>
      </w:r>
      <w:r>
        <w:rPr>
          <w:rFonts w:ascii="Times New Roman" w:hAnsi="Times New Roman"/>
          <w:caps w:val="false"/>
          <w:smallCaps w:val="false"/>
          <w:sz w:val="20"/>
        </w:rPr>
        <w:t xml:space="preserve"> and (v) other adjustments deemed appropriate. The pro forma combined financial information has been included for comparative purposes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might have actually occurred had the ResMetrics acquisition taken place on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furthermore, the financial information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intended to be a projection of future results. The following table summarizes our unaudited selected financial information on a pro forma basis (in thousands):</w:t>
      </w:r>
    </w:p>
    <w:p>
      <w:pPr>
        <w:pStyle w:val="TextBody"/>
        <w:bidi w:val="0"/>
        <w:spacing w:before="0" w:after="0"/>
        <w:ind w:left="0" w:right="0" w:firstLine="360"/>
        <w:jc w:val="left"/>
        <w:rPr>
          <w:caps w:val="false"/>
          <w:smallCaps w:val="false"/>
        </w:rPr>
      </w:pPr>
      <w:r>
        <w:rPr>
          <w:caps w:val="false"/>
          <w:smallCaps w:val="false"/>
        </w:rPr>
        <w:t> </w:t>
      </w:r>
    </w:p>
    <w:tbl>
      <w:tblPr>
        <w:tblW w:w="6564" w:type="dxa"/>
        <w:jc w:val="left"/>
        <w:tblInd w:w="0" w:type="dxa"/>
        <w:tblLayout w:type="fixed"/>
        <w:tblCellMar>
          <w:top w:w="0" w:type="dxa"/>
          <w:left w:w="0" w:type="dxa"/>
          <w:bottom w:w="0" w:type="dxa"/>
          <w:right w:w="0" w:type="dxa"/>
        </w:tblCellMar>
      </w:tblPr>
      <w:tblGrid>
        <w:gridCol w:w="4685"/>
        <w:gridCol w:w="60"/>
        <w:gridCol w:w="307"/>
        <w:gridCol w:w="1452"/>
        <w:gridCol w:w="60"/>
      </w:tblGrid>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Pro Forma</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9"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b/>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52,446</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Segment and Geographic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sell complementary products and services largely to E&amp;P customers in the oil and gas industry, through one reportable segment, as more fully described in our Annual Report,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Segment and Geographic Information.” We manage our activities on a consolidated basis applying qualitative factors including the nature of the products and services, the nature and commonality of production processes, a shared customer base primarily in North America, the scope of geographic operations and a common industry and regulatory environment. Our chief operating decision maker (“CODM”) is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evaluate our performance on a consolidated basis by reviewing key income statement items such as revenue, gross margin, and net income, as well as other specific balance sheet and cash flow items; comparing certain key financial figures to financial guidance; and evaluating our share price performance and estimated trading multiple relative to selected peers.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CODM utilizes the GAAP measures of net income and cash flow from operations as primary measures of profitability and cash flow, respectively, as well as secondary non-GAAP measures of Adjusted EBITDA and free cash flow (cash flow from operations less capital expenditures). The CODM assesses performance using these measures, and he decides how to allocate resources (including capital expenditures, financial resources and employees) through an integrated annual budget and more frequent forecasting processes, with the annual budget subject to approval by our Board of Directors (“Board”). The CODM allocates resources in a manner that he believes will maximize value for the consolidated corporate entity and its stockholders. The CODM considers variances from actual to budget, our most recent estimate and the prior year on a monthly basis when making decisions about the allocation of operating and capital resources. The CODM also regularly reviews consolidated cash flow, as well as the non-GAAP measure of free cash flow. The CODM assesses business performance consistent with the presentation on our consolidated financial statements supplemented with a review of certain significant selling, general and administrative (“SG&amp;A”) expense categories. Such expenses are reviewed on a with and without basis for business combinations, until fully integrated into actual results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The following table summarizes significant SG&amp;A expenses that are reviewed by the CODM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separately presented on our condensed consolidated statements of operations (in thousands):</w:t>
      </w:r>
    </w:p>
    <w:p>
      <w:pPr>
        <w:pStyle w:val="TextBody"/>
        <w:bidi w:val="0"/>
        <w:spacing w:before="0" w:after="0"/>
        <w:ind w:left="0" w:right="0" w:hanging="0"/>
        <w:jc w:val="left"/>
        <w:rPr>
          <w:caps w:val="false"/>
          <w:smallCaps w:val="false"/>
        </w:rPr>
      </w:pPr>
      <w:r>
        <w:rPr>
          <w:caps w:val="false"/>
          <w:smallCaps w:val="false"/>
        </w:rPr>
        <w:t> </w:t>
      </w:r>
    </w:p>
    <w:tbl>
      <w:tblPr>
        <w:tblW w:w="4356" w:type="dxa"/>
        <w:jc w:val="left"/>
        <w:tblInd w:w="0" w:type="dxa"/>
        <w:tblLayout w:type="fixed"/>
        <w:tblCellMar>
          <w:top w:w="0" w:type="dxa"/>
          <w:left w:w="0" w:type="dxa"/>
          <w:bottom w:w="0" w:type="dxa"/>
          <w:right w:w="0" w:type="dxa"/>
        </w:tblCellMar>
      </w:tblPr>
      <w:tblGrid>
        <w:gridCol w:w="2480"/>
        <w:gridCol w:w="60"/>
        <w:gridCol w:w="141"/>
        <w:gridCol w:w="669"/>
        <w:gridCol w:w="68"/>
        <w:gridCol w:w="68"/>
        <w:gridCol w:w="141"/>
        <w:gridCol w:w="669"/>
        <w:gridCol w:w="6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and employee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9,952</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 and hardware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SG&amp;A</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900"/>
        <w:jc w:val="left"/>
        <w:rPr/>
      </w:pPr>
      <w:r>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The following table summarizes revenue by geographic area attributed based on the current billing address of the customer (in thousands):</w:t>
      </w:r>
    </w:p>
    <w:p>
      <w:pPr>
        <w:pStyle w:val="TextBody"/>
        <w:bidi w:val="0"/>
        <w:spacing w:before="0" w:after="0"/>
        <w:ind w:left="0" w:right="0" w:firstLine="360"/>
        <w:jc w:val="left"/>
        <w:rPr/>
      </w:pPr>
      <w:r>
        <w:rPr/>
        <w:t> </w:t>
      </w:r>
    </w:p>
    <w:tbl>
      <w:tblPr>
        <w:tblW w:w="3983" w:type="dxa"/>
        <w:jc w:val="left"/>
        <w:tblInd w:w="0" w:type="dxa"/>
        <w:tblLayout w:type="fixed"/>
        <w:tblCellMar>
          <w:top w:w="0" w:type="dxa"/>
          <w:left w:w="0" w:type="dxa"/>
          <w:bottom w:w="0" w:type="dxa"/>
          <w:right w:w="0" w:type="dxa"/>
        </w:tblCellMar>
      </w:tblPr>
      <w:tblGrid>
        <w:gridCol w:w="2075"/>
        <w:gridCol w:w="60"/>
        <w:gridCol w:w="144"/>
        <w:gridCol w:w="681"/>
        <w:gridCol w:w="69"/>
        <w:gridCol w:w="69"/>
        <w:gridCol w:w="144"/>
        <w:gridCol w:w="681"/>
        <w:gridCol w:w="6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vAlign w:val="center"/>
          </w:tcPr>
          <w:p>
            <w:pPr>
              <w:pStyle w:val="TableContents"/>
              <w:bidi w:val="0"/>
              <w:spacing w:before="0" w:after="283"/>
              <w:ind w:left="0" w:right="0" w:hanging="0"/>
              <w:jc w:val="left"/>
              <w:rPr/>
            </w:pPr>
            <w:r>
              <w:rPr/>
              <w:t> </w:t>
            </w:r>
          </w:p>
        </w:tc>
        <w:tc>
          <w:tcPr>
            <w:tcW w:w="144" w:type="dxa"/>
            <w:tcBorders/>
            <w:vAlign w:val="center"/>
          </w:tcPr>
          <w:p>
            <w:pPr>
              <w:pStyle w:val="TableContents"/>
              <w:bidi w:val="0"/>
              <w:spacing w:before="0" w:after="283"/>
              <w:ind w:left="0" w:right="0" w:hanging="0"/>
              <w:jc w:val="left"/>
              <w:rPr>
                <w:sz w:val="20"/>
              </w:rPr>
            </w:pPr>
            <w:r>
              <w:rPr>
                <w:sz w:val="20"/>
              </w:rPr>
              <w:t>$</w:t>
            </w:r>
          </w:p>
        </w:tc>
        <w:tc>
          <w:tcPr>
            <w:tcW w:w="681" w:type="dxa"/>
            <w:tcBorders/>
            <w:vAlign w:val="center"/>
          </w:tcPr>
          <w:p>
            <w:pPr>
              <w:pStyle w:val="TableContents"/>
              <w:bidi w:val="0"/>
              <w:spacing w:before="0" w:after="283"/>
              <w:ind w:left="0" w:right="0" w:hanging="0"/>
              <w:jc w:val="right"/>
              <w:rPr>
                <w:sz w:val="20"/>
              </w:rPr>
            </w:pPr>
            <w:r>
              <w:rPr>
                <w:sz w:val="20"/>
              </w:rPr>
              <w:t>14,209</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44" w:type="dxa"/>
            <w:tcBorders/>
            <w:vAlign w:val="center"/>
          </w:tcPr>
          <w:p>
            <w:pPr>
              <w:pStyle w:val="TableContents"/>
              <w:bidi w:val="0"/>
              <w:spacing w:before="0" w:after="283"/>
              <w:ind w:left="0" w:right="0" w:hanging="0"/>
              <w:jc w:val="left"/>
              <w:rPr>
                <w:sz w:val="20"/>
              </w:rPr>
            </w:pPr>
            <w:r>
              <w:rPr>
                <w:sz w:val="20"/>
              </w:rPr>
              <w:t>$</w:t>
            </w:r>
          </w:p>
        </w:tc>
        <w:tc>
          <w:tcPr>
            <w:tcW w:w="681" w:type="dxa"/>
            <w:tcBorders/>
            <w:vAlign w:val="center"/>
          </w:tcPr>
          <w:p>
            <w:pPr>
              <w:pStyle w:val="TableContents"/>
              <w:bidi w:val="0"/>
              <w:spacing w:before="0" w:after="283"/>
              <w:ind w:left="0" w:right="0" w:hanging="0"/>
              <w:jc w:val="right"/>
              <w:rPr>
                <w:sz w:val="20"/>
              </w:rPr>
            </w:pPr>
            <w:r>
              <w:rPr>
                <w:sz w:val="20"/>
              </w:rPr>
              <w:t>6,867</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4,931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2,505</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United States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19,140</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9,372</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16,164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26,843</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7,047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10,875</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Canada</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23,211</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37,718</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Countries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2,210</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1,356</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1,076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1,559</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countries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3,286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2,915</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32,583</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681" w:type="dxa"/>
            <w:tcBorders/>
            <w:vAlign w:val="center"/>
          </w:tcPr>
          <w:p>
            <w:pPr>
              <w:pStyle w:val="TableContents"/>
              <w:bidi w:val="0"/>
              <w:spacing w:before="0" w:after="283"/>
              <w:ind w:left="0" w:right="0" w:hanging="0"/>
              <w:jc w:val="right"/>
              <w:rPr>
                <w:sz w:val="20"/>
              </w:rPr>
            </w:pPr>
            <w:r>
              <w:rPr>
                <w:sz w:val="20"/>
              </w:rPr>
              <w:t>35,066</w:t>
            </w:r>
          </w:p>
        </w:tc>
        <w:tc>
          <w:tcPr>
            <w:tcW w:w="6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13,054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14,939</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vAlign w:val="center"/>
          </w:tcPr>
          <w:p>
            <w:pPr>
              <w:pStyle w:val="TableContents"/>
              <w:bidi w:val="0"/>
              <w:spacing w:before="0" w:after="283"/>
              <w:ind w:left="0" w:right="0" w:hanging="0"/>
              <w:jc w:val="left"/>
              <w:rPr/>
            </w:pPr>
            <w:r>
              <w:rPr/>
              <w:t> </w:t>
            </w:r>
          </w:p>
        </w:tc>
        <w:tc>
          <w:tcPr>
            <w:tcW w:w="144" w:type="dxa"/>
            <w:tcBorders>
              <w:bottom w:val="double" w:sz="6" w:space="0" w:color="000000"/>
            </w:tcBorders>
            <w:tcMar>
              <w:bottom w:w="28" w:type="dxa"/>
            </w:tcMar>
            <w:vAlign w:val="center"/>
          </w:tcPr>
          <w:p>
            <w:pPr>
              <w:pStyle w:val="TableContents"/>
              <w:bidi w:val="0"/>
              <w:spacing w:before="0" w:after="283"/>
              <w:ind w:left="0" w:right="0" w:hanging="0"/>
              <w:jc w:val="left"/>
              <w:rPr>
                <w:sz w:val="20"/>
              </w:rPr>
            </w:pPr>
            <w:r>
              <w:rPr>
                <w:sz w:val="20"/>
              </w:rPr>
              <w:t>$</w:t>
            </w:r>
          </w:p>
        </w:tc>
        <w:tc>
          <w:tcPr>
            <w:tcW w:w="681" w:type="dxa"/>
            <w:tcBorders>
              <w:bottom w:val="double" w:sz="6" w:space="0" w:color="000000"/>
            </w:tcBorders>
            <w:tcMar>
              <w:bottom w:w="28" w:type="dxa"/>
            </w:tcMar>
            <w:vAlign w:val="center"/>
          </w:tcPr>
          <w:p>
            <w:pPr>
              <w:pStyle w:val="TableContents"/>
              <w:bidi w:val="0"/>
              <w:spacing w:before="0" w:after="283"/>
              <w:ind w:left="0" w:right="0" w:hanging="0"/>
              <w:jc w:val="right"/>
              <w:rPr>
                <w:sz w:val="20"/>
              </w:rPr>
            </w:pPr>
            <w:r>
              <w:rPr>
                <w:sz w:val="20"/>
              </w:rPr>
              <w:t>45,637</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44" w:type="dxa"/>
            <w:tcBorders>
              <w:bottom w:val="double" w:sz="6" w:space="0" w:color="000000"/>
            </w:tcBorders>
            <w:tcMar>
              <w:bottom w:w="28" w:type="dxa"/>
            </w:tcMar>
            <w:vAlign w:val="center"/>
          </w:tcPr>
          <w:p>
            <w:pPr>
              <w:pStyle w:val="TableContents"/>
              <w:bidi w:val="0"/>
              <w:spacing w:before="0" w:after="283"/>
              <w:ind w:left="0" w:right="0" w:hanging="0"/>
              <w:jc w:val="left"/>
              <w:rPr>
                <w:sz w:val="20"/>
              </w:rPr>
            </w:pPr>
            <w:r>
              <w:rPr>
                <w:sz w:val="20"/>
              </w:rPr>
              <w:t>$</w:t>
            </w:r>
          </w:p>
        </w:tc>
        <w:tc>
          <w:tcPr>
            <w:tcW w:w="681" w:type="dxa"/>
            <w:tcBorders>
              <w:bottom w:val="double" w:sz="6" w:space="0" w:color="000000"/>
            </w:tcBorders>
            <w:tcMar>
              <w:bottom w:w="28" w:type="dxa"/>
            </w:tcMar>
            <w:vAlign w:val="center"/>
          </w:tcPr>
          <w:p>
            <w:pPr>
              <w:pStyle w:val="TableContents"/>
              <w:bidi w:val="0"/>
              <w:spacing w:before="0" w:after="283"/>
              <w:ind w:left="0" w:right="0" w:hanging="0"/>
              <w:jc w:val="right"/>
              <w:rPr>
                <w:sz w:val="20"/>
              </w:rPr>
            </w:pPr>
            <w:r>
              <w:rPr>
                <w:sz w:val="20"/>
              </w:rPr>
              <w:t>50,005</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summarizes long-lived assets (defined as property and equipment, net and operating lease assets, net) by geographic area (in thousands):</w:t>
      </w:r>
    </w:p>
    <w:p>
      <w:pPr>
        <w:pStyle w:val="TextBody"/>
        <w:bidi w:val="0"/>
        <w:spacing w:before="0" w:after="0"/>
        <w:ind w:left="0" w:right="0" w:firstLine="360"/>
        <w:jc w:val="left"/>
        <w:rPr>
          <w:caps w:val="false"/>
          <w:smallCaps w:val="false"/>
        </w:rPr>
      </w:pPr>
      <w:r>
        <w:rPr>
          <w:caps w:val="false"/>
          <w:smallCaps w:val="false"/>
        </w:rPr>
        <w:t> </w:t>
      </w:r>
    </w:p>
    <w:tbl>
      <w:tblPr>
        <w:tblW w:w="3568" w:type="dxa"/>
        <w:jc w:val="left"/>
        <w:tblInd w:w="0" w:type="dxa"/>
        <w:tblLayout w:type="fixed"/>
        <w:tblCellMar>
          <w:top w:w="0" w:type="dxa"/>
          <w:left w:w="0" w:type="dxa"/>
          <w:bottom w:w="0" w:type="dxa"/>
          <w:right w:w="0" w:type="dxa"/>
        </w:tblCellMar>
      </w:tblPr>
      <w:tblGrid>
        <w:gridCol w:w="1310"/>
        <w:gridCol w:w="60"/>
        <w:gridCol w:w="152"/>
        <w:gridCol w:w="722"/>
        <w:gridCol w:w="60"/>
        <w:gridCol w:w="60"/>
        <w:gridCol w:w="199"/>
        <w:gridCol w:w="945"/>
        <w:gridCol w:w="60"/>
      </w:tblGrid>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11,789</w:t>
            </w:r>
          </w:p>
        </w:tc>
        <w:tc>
          <w:tcPr>
            <w:tcW w:w="6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9,448</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Countries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w:t>
            </w:r>
          </w:p>
        </w:tc>
        <w:tc>
          <w:tcPr>
            <w:tcW w:w="6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24,666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Note</w:t>
      </w:r>
      <w:r>
        <w:rPr>
          <w:rFonts w:ascii="Times New Roman" w:hAnsi="Times New Roman"/>
          <w:sz w:val="20"/>
        </w:rPr>
        <w:t> </w:t>
      </w:r>
      <w:r>
        <w:rPr>
          <w:rStyle w:val="Emphasis"/>
          <w:rFonts w:ascii="Times New Roman" w:hAnsi="Times New Roman"/>
          <w:b/>
          <w:sz w:val="20"/>
        </w:rPr>
        <w:t>4.</w:t>
      </w:r>
      <w:r>
        <w:rPr>
          <w:rFonts w:ascii="Times New Roman" w:hAnsi="Times New Roman"/>
          <w:sz w:val="20"/>
        </w:rPr>
        <w:t>  </w:t>
      </w:r>
      <w:r>
        <w:rPr>
          <w:rFonts w:ascii="Times New Roman" w:hAnsi="Times New Roman"/>
          <w:b/>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sell our products and services primarily in North America and in selected international markets. See above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Segment and Geographic Information” for our disaggregated revenue by geographic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Contract Balances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the timing of the delivery of products and provision of services is different from the timing of the customer payments, we recognize either a contract asset (performance precedes contractual due date in connection with estimates of variable consideration) or a contract liability (customer payment precedes performance) on our condensed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following table presents the current contract liabilities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 </w:t>
      </w:r>
    </w:p>
    <w:p>
      <w:pPr>
        <w:pStyle w:val="TextBody"/>
        <w:bidi w:val="0"/>
        <w:spacing w:before="0" w:after="0"/>
        <w:ind w:left="0" w:right="0" w:hanging="0"/>
        <w:jc w:val="left"/>
        <w:rPr>
          <w:caps w:val="false"/>
          <w:smallCaps w:val="false"/>
        </w:rPr>
      </w:pPr>
      <w:r>
        <w:rPr>
          <w:caps w:val="false"/>
          <w:smallCaps w:val="false"/>
        </w:rPr>
        <w:t> </w:t>
      </w:r>
    </w:p>
    <w:tbl>
      <w:tblPr>
        <w:tblW w:w="3075" w:type="dxa"/>
        <w:jc w:val="left"/>
        <w:tblInd w:w="0" w:type="dxa"/>
        <w:tblLayout w:type="fixed"/>
        <w:tblCellMar>
          <w:top w:w="0" w:type="dxa"/>
          <w:left w:w="0" w:type="dxa"/>
          <w:bottom w:w="0" w:type="dxa"/>
          <w:right w:w="0" w:type="dxa"/>
        </w:tblCellMar>
      </w:tblPr>
      <w:tblGrid>
        <w:gridCol w:w="2495"/>
        <w:gridCol w:w="60"/>
        <w:gridCol w:w="125"/>
        <w:gridCol w:w="335"/>
        <w:gridCol w:w="60"/>
      </w:tblGrid>
      <w:tr>
        <w:trPr/>
        <w:tc>
          <w:tcPr>
            <w:tcW w:w="24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recognized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currently do not have any contract assets or non-current contract liabilities. Our contract liability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is included in other current liabilities on the applicable condensed consolidated balance sheets. Our performance obligations for our product sales and services revenue are typically satisfied before the customer’s payment; however, prepayments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occasionally be required.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revenue was recognized from the contract liability balance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Practical Expedient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disclose the value of unsatisfied performance obligations when the related contract has a duration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We recognize revenue equal to what we have the right to invoice when that amount corresponds directly with the value to the customer of our performance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Inventories consist of the following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4018" w:type="dxa"/>
        <w:jc w:val="left"/>
        <w:tblInd w:w="0" w:type="dxa"/>
        <w:tblLayout w:type="fixed"/>
        <w:tblCellMar>
          <w:top w:w="0" w:type="dxa"/>
          <w:left w:w="0" w:type="dxa"/>
          <w:bottom w:w="0" w:type="dxa"/>
          <w:right w:w="0" w:type="dxa"/>
        </w:tblCellMar>
      </w:tblPr>
      <w:tblGrid>
        <w:gridCol w:w="1760"/>
        <w:gridCol w:w="60"/>
        <w:gridCol w:w="152"/>
        <w:gridCol w:w="722"/>
        <w:gridCol w:w="60"/>
        <w:gridCol w:w="60"/>
        <w:gridCol w:w="199"/>
        <w:gridCol w:w="945"/>
        <w:gridCol w:w="60"/>
      </w:tblGrid>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2,060</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727</w:t>
            </w:r>
          </w:p>
        </w:tc>
        <w:tc>
          <w:tcPr>
            <w:tcW w:w="6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36,224</w:t>
            </w:r>
          </w:p>
        </w:tc>
        <w:tc>
          <w:tcPr>
            <w:tcW w:w="6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inventories, net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39,011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Other Current Receivables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Other current receivables consist of the following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4798" w:type="dxa"/>
        <w:jc w:val="left"/>
        <w:tblInd w:w="0" w:type="dxa"/>
        <w:tblLayout w:type="fixed"/>
        <w:tblCellMar>
          <w:top w:w="0" w:type="dxa"/>
          <w:left w:w="0" w:type="dxa"/>
          <w:bottom w:w="0" w:type="dxa"/>
          <w:right w:w="0" w:type="dxa"/>
        </w:tblCellMar>
      </w:tblPr>
      <w:tblGrid>
        <w:gridCol w:w="2540"/>
        <w:gridCol w:w="60"/>
        <w:gridCol w:w="179"/>
        <w:gridCol w:w="695"/>
        <w:gridCol w:w="60"/>
        <w:gridCol w:w="60"/>
        <w:gridCol w:w="234"/>
        <w:gridCol w:w="910"/>
        <w:gridCol w:w="6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income tax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2,091</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 receivables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receivables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1,342</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current receivables</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Other receivables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includes $1.1 million and $1.0 million, respectively, associated with probable and estimable royalties earned through license agreements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received as of the balance sheet date.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Property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Property and equipment by major asset class consist of the following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 </w:t>
      </w:r>
    </w:p>
    <w:p>
      <w:pPr>
        <w:pStyle w:val="TextBody"/>
        <w:bidi w:val="0"/>
        <w:spacing w:before="0" w:after="0"/>
        <w:ind w:left="0" w:right="0" w:hanging="0"/>
        <w:jc w:val="left"/>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4055"/>
        <w:gridCol w:w="60"/>
        <w:gridCol w:w="141"/>
        <w:gridCol w:w="733"/>
        <w:gridCol w:w="80"/>
        <w:gridCol w:w="60"/>
        <w:gridCol w:w="184"/>
        <w:gridCol w:w="960"/>
        <w:gridCol w:w="80"/>
      </w:tblGrid>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1,574</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 and improvements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7,314</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20,056</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Computers and software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2,186</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Vehicles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 of use assets - finance leases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14,590</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46,387</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(27,727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19,638</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19,849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following table presents the depreciation expense associated with the respective income statement line items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513" w:type="dxa"/>
        <w:jc w:val="left"/>
        <w:tblInd w:w="0" w:type="dxa"/>
        <w:tblLayout w:type="fixed"/>
        <w:tblCellMar>
          <w:top w:w="0" w:type="dxa"/>
          <w:left w:w="0" w:type="dxa"/>
          <w:bottom w:w="0" w:type="dxa"/>
          <w:right w:w="0" w:type="dxa"/>
        </w:tblCellMar>
      </w:tblPr>
      <w:tblGrid>
        <w:gridCol w:w="3635"/>
        <w:gridCol w:w="60"/>
        <w:gridCol w:w="164"/>
        <w:gridCol w:w="637"/>
        <w:gridCol w:w="78"/>
        <w:gridCol w:w="78"/>
        <w:gridCol w:w="164"/>
        <w:gridCol w:w="637"/>
        <w:gridCol w:w="60"/>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6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evaluate our property and equipment for impairment whenever changes in circumstances indicate that the carrying amount of an asset group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We determined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that indicated potential impairment of our property and equipment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and accordingly no impairment loss has been recorded.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 xml:space="preserve">Goodwill and Identifiable Intangibles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carrying amount of goodwill is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4379" w:type="dxa"/>
        <w:jc w:val="left"/>
        <w:tblInd w:w="0" w:type="dxa"/>
        <w:tblLayout w:type="fixed"/>
        <w:tblCellMar>
          <w:top w:w="0" w:type="dxa"/>
          <w:left w:w="0" w:type="dxa"/>
          <w:bottom w:w="0" w:type="dxa"/>
          <w:right w:w="0" w:type="dxa"/>
        </w:tblCellMar>
      </w:tblPr>
      <w:tblGrid>
        <w:gridCol w:w="2075"/>
        <w:gridCol w:w="60"/>
        <w:gridCol w:w="125"/>
        <w:gridCol w:w="755"/>
        <w:gridCol w:w="80"/>
        <w:gridCol w:w="60"/>
        <w:gridCol w:w="162"/>
        <w:gridCol w:w="982"/>
        <w:gridCol w:w="8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177,162</w:t>
            </w:r>
          </w:p>
        </w:tc>
        <w:tc>
          <w:tcPr>
            <w:tcW w:w="8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1,165</w:t>
            </w:r>
          </w:p>
        </w:tc>
        <w:tc>
          <w:tcPr>
            <w:tcW w:w="8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impairment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(161,940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(161,940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perform an annual impairment analysis of goodwill as of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or whenever there is a triggering event that indicates an impairment loss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been incurred. We perform our impairment analysis at a reportable unit level, evaluated separately for Repeat Precision and for the remaining NCS business.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recorded goodwill totaling $1.2 million associated with the ResMetrics acquisition, allocated to our tracer diagnostics services group within the NCS reportable unit.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Acquisition.”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 only reporting units with remaining goodwill are the tracer diagnostics services group within the NCS reportable unit and Repeat Precision.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identify any triggering events that would indicate potential impairment for either of these units. No goodwill impairment has been recorded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Identifiable intangibles by major asset class consist of the following (in thousands): </w:t>
      </w:r>
    </w:p>
    <w:p>
      <w:pPr>
        <w:pStyle w:val="TextBody"/>
        <w:bidi w:val="0"/>
        <w:spacing w:before="0" w:after="0"/>
        <w:ind w:left="0" w:right="0" w:hanging="0"/>
        <w:jc w:val="left"/>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2075"/>
        <w:gridCol w:w="1085"/>
        <w:gridCol w:w="60"/>
        <w:gridCol w:w="134"/>
        <w:gridCol w:w="636"/>
        <w:gridCol w:w="60"/>
        <w:gridCol w:w="60"/>
        <w:gridCol w:w="208"/>
        <w:gridCol w:w="907"/>
        <w:gridCol w:w="80"/>
        <w:gridCol w:w="60"/>
        <w:gridCol w:w="145"/>
        <w:gridCol w:w="565"/>
        <w:gridCol w:w="60"/>
      </w:tblGrid>
      <w:tr>
        <w:trPr/>
        <w:tc>
          <w:tcPr>
            <w:tcW w:w="207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Useful</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Lives (Years)</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10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1 - 20</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2,609</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10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6 - 10</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2,741</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Trademarks</w:t>
            </w:r>
          </w:p>
        </w:tc>
        <w:tc>
          <w:tcPr>
            <w:tcW w:w="108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Non-compete agreements</w:t>
            </w:r>
          </w:p>
        </w:tc>
        <w:tc>
          <w:tcPr>
            <w:tcW w:w="108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w:t>
            </w:r>
          </w:p>
        </w:tc>
        <w:tc>
          <w:tcPr>
            <w:tcW w:w="60" w:type="dxa"/>
            <w:tcBorders/>
            <w:shd w:fill="FFFFFF" w:val="clear"/>
            <w:vAlign w:val="center"/>
          </w:tcPr>
          <w:p>
            <w:pPr>
              <w:pStyle w:val="TableContents"/>
              <w:bidi w:val="0"/>
              <w:spacing w:before="0" w:after="0"/>
              <w:jc w:val="left"/>
              <w:rPr/>
            </w:pPr>
            <w:r>
              <w:rPr/>
              <w:t> </w:t>
            </w:r>
          </w:p>
        </w:tc>
      </w:tr>
      <w:tr>
        <w:trPr/>
        <w:tc>
          <w:tcPr>
            <w:tcW w:w="3160" w:type="dxa"/>
            <w:gridSpan w:val="2"/>
            <w:tcBorders/>
            <w:shd w:fill="CCEEFF" w:val="clear"/>
            <w:vAlign w:val="center"/>
          </w:tcPr>
          <w:p>
            <w:pPr>
              <w:pStyle w:val="TableContents"/>
              <w:bidi w:val="0"/>
              <w:spacing w:before="0" w:after="0"/>
              <w:ind w:left="180" w:right="0" w:hanging="0"/>
              <w:jc w:val="left"/>
              <w:rPr/>
            </w:pPr>
            <w:r>
              <w:rPr>
                <w:rStyle w:val="Emphasis"/>
                <w:rFonts w:ascii="Times New Roman" w:hAnsi="Times New Roman"/>
                <w:caps w:val="false"/>
                <w:smallCaps w:val="false"/>
                <w:sz w:val="20"/>
              </w:rPr>
              <w:t>Total identifiable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135" w:type="dxa"/>
        <w:jc w:val="left"/>
        <w:tblInd w:w="0" w:type="dxa"/>
        <w:tblLayout w:type="fixed"/>
        <w:tblCellMar>
          <w:top w:w="0" w:type="dxa"/>
          <w:left w:w="0" w:type="dxa"/>
          <w:bottom w:w="0" w:type="dxa"/>
          <w:right w:w="0" w:type="dxa"/>
        </w:tblCellMar>
      </w:tblPr>
      <w:tblGrid>
        <w:gridCol w:w="2075"/>
        <w:gridCol w:w="1085"/>
        <w:gridCol w:w="60"/>
        <w:gridCol w:w="134"/>
        <w:gridCol w:w="636"/>
        <w:gridCol w:w="60"/>
        <w:gridCol w:w="60"/>
        <w:gridCol w:w="208"/>
        <w:gridCol w:w="907"/>
        <w:gridCol w:w="80"/>
        <w:gridCol w:w="60"/>
        <w:gridCol w:w="145"/>
        <w:gridCol w:w="565"/>
        <w:gridCol w:w="60"/>
      </w:tblGrid>
      <w:tr>
        <w:trPr/>
        <w:tc>
          <w:tcPr>
            <w:tcW w:w="207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Useful</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Lives (Years)</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Technology</w:t>
            </w:r>
          </w:p>
        </w:tc>
        <w:tc>
          <w:tcPr>
            <w:tcW w:w="108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1 - 20</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2,677</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108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6 - 10</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2,957</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Trademarks</w:t>
            </w:r>
          </w:p>
        </w:tc>
        <w:tc>
          <w:tcPr>
            <w:tcW w:w="108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5</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Non-compete agreements</w:t>
            </w:r>
          </w:p>
        </w:tc>
        <w:tc>
          <w:tcPr>
            <w:tcW w:w="108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w:t>
            </w:r>
          </w:p>
        </w:tc>
        <w:tc>
          <w:tcPr>
            <w:tcW w:w="60" w:type="dxa"/>
            <w:tcBorders/>
            <w:shd w:fill="FFFFFF" w:val="clear"/>
            <w:vAlign w:val="center"/>
          </w:tcPr>
          <w:p>
            <w:pPr>
              <w:pStyle w:val="TableContents"/>
              <w:bidi w:val="0"/>
              <w:spacing w:before="0" w:after="0"/>
              <w:jc w:val="left"/>
              <w:rPr/>
            </w:pPr>
            <w:r>
              <w:rPr/>
              <w:t> </w:t>
            </w:r>
          </w:p>
        </w:tc>
      </w:tr>
      <w:tr>
        <w:trPr/>
        <w:tc>
          <w:tcPr>
            <w:tcW w:w="3160" w:type="dxa"/>
            <w:gridSpan w:val="2"/>
            <w:tcBorders/>
            <w:shd w:fill="CCEEFF" w:val="clear"/>
            <w:vAlign w:val="center"/>
          </w:tcPr>
          <w:p>
            <w:pPr>
              <w:pStyle w:val="TableContents"/>
              <w:bidi w:val="0"/>
              <w:spacing w:before="0" w:after="0"/>
              <w:ind w:left="180" w:right="0" w:hanging="0"/>
              <w:jc w:val="left"/>
              <w:rPr/>
            </w:pPr>
            <w:r>
              <w:rPr>
                <w:rStyle w:val="Emphasis"/>
                <w:rFonts w:ascii="Times New Roman" w:hAnsi="Times New Roman"/>
                <w:caps w:val="false"/>
                <w:smallCaps w:val="false"/>
                <w:sz w:val="20"/>
              </w:rPr>
              <w:t>Total identifiable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shd w:fill="FFFFFF" w:val="clear"/>
        </w:rPr>
        <w:t>Total amortization expense, which is associated with SG&amp;A expenses on the condensed consolidated statements of opera</w:t>
      </w:r>
      <w:r>
        <w:rPr>
          <w:rFonts w:ascii="Times New Roman" w:hAnsi="Times New Roman"/>
          <w:caps w:val="false"/>
          <w:smallCaps w:val="false"/>
          <w:sz w:val="20"/>
        </w:rPr>
        <w:t xml:space="preserve">tions, was $0.3 million and $0.2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Identifiable intangibles are tested for impairment whenever events or changes in circumstances indicate that their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Prior to the acquisition of ResMetrics, our intangible assets were primarily attributable to Repeat Precision. However, the acquisition has contributed identifiable intangible assets to the tracer diagnostics services group within the NCS reportable unit.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evaluated potential triggering events and determined that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which indicated potential impairment of our intangible assets. Therefore,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 any impairment charges related to our identifiable intangibles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Accrued Expenses</w:t>
      </w:r>
      <w:r>
        <w:rPr>
          <w:rFonts w:ascii="Times New Roman" w:hAnsi="Times New Roman"/>
          <w:b/>
          <w:caps w:val="false"/>
          <w:smallCaps w:val="false"/>
          <w:color w:val="FF0000"/>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Accrued expenses consist of the following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443" w:type="dxa"/>
        <w:jc w:val="left"/>
        <w:tblInd w:w="0" w:type="dxa"/>
        <w:tblLayout w:type="fixed"/>
        <w:tblCellMar>
          <w:top w:w="0" w:type="dxa"/>
          <w:left w:w="0" w:type="dxa"/>
          <w:bottom w:w="0" w:type="dxa"/>
          <w:right w:w="0" w:type="dxa"/>
        </w:tblCellMar>
      </w:tblPr>
      <w:tblGrid>
        <w:gridCol w:w="3185"/>
        <w:gridCol w:w="60"/>
        <w:gridCol w:w="179"/>
        <w:gridCol w:w="695"/>
        <w:gridCol w:w="60"/>
        <w:gridCol w:w="60"/>
        <w:gridCol w:w="234"/>
        <w:gridCol w:w="910"/>
        <w:gridCol w:w="6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payroll and bonus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8,423</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franchise taxes accrual</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other miscellaneous liabilities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Accrued payroll and bonus includes an incentive bonus that is accrued throughout the year based on the Company’s operating performance, generally paid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the following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b/>
          <w:caps w:val="false"/>
          <w:smallCaps w:val="false"/>
          <w:sz w:val="20"/>
        </w:rPr>
        <w:t xml:space="preserve">Debt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Our long-term debt consists of the following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5063" w:type="dxa"/>
        <w:jc w:val="left"/>
        <w:tblInd w:w="0" w:type="dxa"/>
        <w:tblLayout w:type="fixed"/>
        <w:tblCellMar>
          <w:top w:w="0" w:type="dxa"/>
          <w:left w:w="0" w:type="dxa"/>
          <w:bottom w:w="0" w:type="dxa"/>
          <w:right w:w="0" w:type="dxa"/>
        </w:tblCellMar>
      </w:tblPr>
      <w:tblGrid>
        <w:gridCol w:w="2765"/>
        <w:gridCol w:w="60"/>
        <w:gridCol w:w="163"/>
        <w:gridCol w:w="711"/>
        <w:gridCol w:w="80"/>
        <w:gridCol w:w="60"/>
        <w:gridCol w:w="212"/>
        <w:gridCol w:w="932"/>
        <w:gridCol w:w="80"/>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ABL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Repeat Precision Promissory Note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7,644</w:t>
            </w:r>
          </w:p>
        </w:tc>
        <w:tc>
          <w:tcPr>
            <w:tcW w:w="8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Total debt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7,644</w:t>
            </w:r>
          </w:p>
        </w:tc>
        <w:tc>
          <w:tcPr>
            <w:tcW w:w="8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Less: current portion</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estimated fair value of total debt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was $6.5 million and $6.9 million, respectively. The fair value of the finance leases was estimated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by calculating the sum of the discounted future interest and principal payments at our incremental borrowing rate through the date of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Below is a description of our financing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ABL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we entered into a secured asset-based revolving credit facility (the “ABL Facility”), where credit availability is subject to a borrowing base calculation. The ABL Facility is governed by the Credit Agreement between NCS Multistage Holdings, Inc. (“NCSH”), Pioneer Investment, Inc., NCS Multistage, LLC, NCS Multistage Inc., the other loan parties thereto, the lenders party thereto, and JPMorgan Chase Bank, N.A., as administrative agent and as a lender under the facility provided therein (the “Credit Agreement”). In </w:t>
      </w:r>
      <w:r>
        <w:rPr>
          <w:rStyle w:val="Emphasis"/>
          <w:rFonts w:ascii="Times New Roman" w:hAnsi="Times New Roman"/>
          <w:caps w:val="false"/>
          <w:smallCaps w:val="false"/>
          <w:sz w:val="20"/>
        </w:rPr>
        <w:t xml:space="preserve"> April 2024, </w:t>
      </w:r>
      <w:r>
        <w:rPr>
          <w:rFonts w:ascii="Times New Roman" w:hAnsi="Times New Roman"/>
          <w:caps w:val="false"/>
          <w:smallCaps w:val="false"/>
          <w:sz w:val="20"/>
        </w:rPr>
        <w:t xml:space="preserve">we amended the Credit Agreement to modify the benchmark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for loans in Canadian dollars in connection with the cessation of the CDOR Rate and transition to the CORRA Rate. The ABL Facility is scheduled to mature in </w:t>
      </w:r>
      <w:r>
        <w:rPr>
          <w:rStyle w:val="Emphasis"/>
          <w:rFonts w:ascii="Times New Roman" w:hAnsi="Times New Roman"/>
          <w:caps w:val="false"/>
          <w:smallCaps w:val="false"/>
          <w:sz w:val="20"/>
        </w:rPr>
        <w:t xml:space="preserve">May 2027. </w:t>
      </w:r>
      <w:r>
        <w:rPr>
          <w:rFonts w:ascii="Times New Roman" w:hAnsi="Times New Roman"/>
          <w:caps w:val="false"/>
          <w:smallCaps w:val="false"/>
          <w:sz w:val="20"/>
        </w:rPr>
        <w:t>We expect to renew the ABL Facility prior to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ABL Facility is a revolving credit facility with an aggregate principal amount of $35.0 million, of which borrowing up to $10.0 million can be made in Canadian dollars and funding of $7.5 million can be available for letters of credit. Total borrowings available under the ABL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limited subject to a borrowing base calculated based on eligible accounts receivable and inventory, provided such eligible balances cannot include the assets of Repeat Precision. Our available borrowing base under the ABL Facility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was $18.5 million.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 had no outstanding indebtedness under the ABL Facility.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we utilized letter of credit commitments of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Borrowings under the ABL Facility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in U.S. dollars with interest calculated using either the “ABR”, the “Adjusted Daily Simple SOFR” or the “Adjusted Term SOFR Rate”, and in Canadian dollars with interest calculated using the “Canadian Prime Rate” or the “Adjusted Term CORRA Rate” (each as defined in the amended and restated Credit Agreement). Borrowings bear interest at a rate equal to the benchmark plus a margin that varies depending on our leverage ratio as follows: (i) for ABR based loans, between 1.40% and 2.40%, and (ii) for Adjusted Daily Simple SOFR, Adjusted Term SOFR Rate, Canadian Prime Rate, and Adjusted Term CORRA Rate, between 2.40% and 3.40%. We must also pay a commitment fee calculated at 0.25% to 0.50% per annum, based on unused commitments. The applicable interest rate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was 6.1%. We incurred interest expense related to the ABL Facility, including commitment fees, of less than $0.1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obligations of the borrowers under the ABL Facility are guaranteed by NCSH and each of our U.S. and Canadian subsidiaries (other than Repeat Precision) and are secured by substantially all of the assets of NCSH and its subsidiaries, in each case, subject to certain exceptions and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Credit Agreement requires, as a condition to borrowing, that available cash on hand after borrowings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$10.0 million. The Credit Agreement also requires us to (i) maintain, for quarters during which liquidity is less than 20% of the aggregate revolving commitments, a fixed charge coverage ratio of at least 1.0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(ii) to prepay advances to the extent that the outstanding loans and letter of credit amounts exceed the most recently calculated borrowing base.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we were in compliance with these financial covenants. The Credit Agreement also contains customary affirmative and negative covenants, including, among other things, restrictions on the creation of liens, the incurrence of indebtedness, investments, dividends and other restricted payments, dispositions and transactions with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 Credit Agreement includes customary events of default for facilities of this type (with customary materiality thresholds and grace periods, as applicable). If an event of default occurs, the lenders party to the Credit Agreement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elect (after the expiration of any applicable notice or grace periods) to declare all outstanding borrowings under such facility, together with accrued and unpaid interest and other amounts payable thereunder, to be immediately due and payable. The lenders party to the Credit Agreement also have the right upon an event of default thereunder to terminate any commitments to provide further borrowings, or to provide additional financing in excess of the borrowing base limit, or to proceed against the collateral securing the ABL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capitalized direct costs of $1.0 million in connection with the Credit Agreement, and approximately $0.1 million associated with subsequent amendments, each of which is being amortized over the remaining term of the ABL Facility using the straight-line method. Amortization of the deferred financing charges of $0.1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was included in interest expense, net.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Repeat Precision Promissory Note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February 2018,</w:t>
      </w:r>
      <w:r>
        <w:rPr>
          <w:rFonts w:ascii="Times New Roman" w:hAnsi="Times New Roman"/>
          <w:caps w:val="false"/>
          <w:smallCaps w:val="false"/>
          <w:sz w:val="20"/>
        </w:rPr>
        <w:t xml:space="preserve"> Repeat Precision entered into a promissory note with Security State Bank &amp; Trust, Fredericksburg (the “Repeat Precision Promissory Note”). The Repeat Precision Promissory Note is a revolving credit facility that has been renewed annually and was most recently renewed in </w:t>
      </w:r>
      <w:r>
        <w:rPr>
          <w:rStyle w:val="Emphasis"/>
          <w:rFonts w:ascii="Times New Roman" w:hAnsi="Times New Roman"/>
          <w:caps w:val="false"/>
          <w:smallCaps w:val="false"/>
          <w:sz w:val="20"/>
        </w:rPr>
        <w:t xml:space="preserve"> May 2025 </w:t>
      </w:r>
      <w:r>
        <w:rPr>
          <w:rFonts w:ascii="Times New Roman" w:hAnsi="Times New Roman"/>
          <w:caps w:val="false"/>
          <w:smallCaps w:val="false"/>
          <w:sz w:val="20"/>
        </w:rPr>
        <w:t>with an aggregate borrowing capacity of $2.5 million. The Repeat Precision Promissory Note is scheduled to mature in </w:t>
      </w:r>
      <w:r>
        <w:rPr>
          <w:rStyle w:val="Emphasis"/>
          <w:rFonts w:ascii="Times New Roman" w:hAnsi="Times New Roman"/>
          <w:caps w:val="false"/>
          <w:smallCaps w:val="false"/>
          <w:sz w:val="20"/>
        </w:rPr>
        <w:t xml:space="preserve"> May 2026</w:t>
      </w:r>
      <w:r>
        <w:rPr>
          <w:rFonts w:ascii="Times New Roman" w:hAnsi="Times New Roman"/>
          <w:caps w:val="false"/>
          <w:smallCaps w:val="false"/>
          <w:sz w:val="20"/>
        </w:rPr>
        <w:t xml:space="preserve"> and bears interest at a variable interest rate equal to prime plus 1.00%. The applicable interest rate at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was 7.8%. The Repeat Precision Promissory Note is collateralized by certain equipment, inventory and receivables of Repeat Precision. Total borrowings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limited subject to a borrowing base calculation, which includes a portion of Repeat Precision’s eligible receivables, inventory and equipment.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there was no outstanding indebtedness under the promissory note and the available borrowing base was $2.5 million. Repeat Precision’s indebtedness is guaranteed by its subsidiary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guaranteed by NCSH or any other NCS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Finance 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lease assets under finance lease arrangements, including an office and laboratory in Tulsa, Oklahoma, facilities in Odessa, Texas, and certain operating equipment and software. We also maintain a vehicle leasing arrangement with a fleet management company through which we lease light vehicles and trucks that meet the finance lease criteria.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Litigation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the ordinary course of our business, from time to time, we have various claims, lawsuits and administrative proceedings that are pending or threatened with respect to commercial, intellectual property and employee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Canada Patent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caps w:val="false"/>
          <w:smallCaps w:val="false"/>
        </w:rPr>
        <w:t xml:space="preserve">●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July 2018,</w:t>
      </w:r>
      <w:r>
        <w:rPr>
          <w:rFonts w:ascii="Times New Roman" w:hAnsi="Times New Roman"/>
          <w:caps w:val="false"/>
          <w:smallCaps w:val="false"/>
          <w:sz w:val="20"/>
        </w:rPr>
        <w:t xml:space="preserve"> we filed a patent infringement lawsuit seeking unspecified damages against Kobold Corporation, Kobold Completions Inc. and </w:t>
      </w:r>
      <w:r>
        <w:rPr>
          <w:rStyle w:val="Emphasis"/>
          <w:rFonts w:ascii="Times New Roman" w:hAnsi="Times New Roman"/>
          <w:caps w:val="false"/>
          <w:smallCaps w:val="false"/>
          <w:sz w:val="20"/>
        </w:rPr>
        <w:t>2039974</w:t>
      </w:r>
      <w:r>
        <w:rPr>
          <w:rFonts w:ascii="Times New Roman" w:hAnsi="Times New Roman"/>
          <w:caps w:val="false"/>
          <w:smallCaps w:val="false"/>
          <w:sz w:val="20"/>
        </w:rPr>
        <w:t xml:space="preserve"> Alberta Ltd. (“Kobold”) in the Federal Court of Canada (“Canada Court”), alleging that Kobold’s fracturing tools and methods infringe several of our Canadian patents. In </w:t>
      </w:r>
      <w:r>
        <w:rPr>
          <w:rStyle w:val="Emphasis"/>
          <w:rFonts w:ascii="Times New Roman" w:hAnsi="Times New Roman"/>
          <w:caps w:val="false"/>
          <w:smallCaps w:val="false"/>
          <w:sz w:val="20"/>
        </w:rPr>
        <w:t xml:space="preserve">July 2019, </w:t>
      </w:r>
      <w:r>
        <w:rPr>
          <w:rFonts w:ascii="Times New Roman" w:hAnsi="Times New Roman"/>
          <w:caps w:val="false"/>
          <w:smallCaps w:val="false"/>
          <w:sz w:val="20"/>
        </w:rPr>
        <w:t xml:space="preserve">Kobold filed a counterclaim seeking unspecified damages alleging that our fracturing tools and methods infringe their patent. The patent infringement litigation was heard in early </w:t>
      </w:r>
      <w:r>
        <w:rPr>
          <w:rStyle w:val="Emphasis"/>
          <w:rFonts w:ascii="Times New Roman" w:hAnsi="Times New Roman"/>
          <w:caps w:val="false"/>
          <w:smallCaps w:val="false"/>
          <w:sz w:val="20"/>
        </w:rPr>
        <w:t>2022.</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October 2023, </w:t>
      </w:r>
      <w:r>
        <w:rPr>
          <w:rFonts w:ascii="Times New Roman;Times;serif" w:hAnsi="Times New Roman;Times;serif"/>
          <w:sz w:val="20"/>
        </w:rPr>
        <w:t xml:space="preserve">the trial judge rendered a decision against us holding that our asserted patents are invalid and that we were infringing the Kobold asserted patent. The Canada Court ordered us to pay Kobold approximately $1.8 million in costs and disbursements, including taxes payable thereon, and granted an injunction prohibiting us from any further infringement of their patent. This amount was paid to Kobold in </w:t>
      </w:r>
      <w:r>
        <w:rPr>
          <w:rStyle w:val="Emphasis"/>
          <w:rFonts w:ascii="Times New Roman;Times;serif" w:hAnsi="Times New Roman;Times;serif"/>
          <w:sz w:val="20"/>
        </w:rPr>
        <w:t>November 2023. </w:t>
      </w:r>
      <w:r>
        <w:rPr>
          <w:rFonts w:ascii="Times New Roman;Times;serif" w:hAnsi="Times New Roman;Times;serif"/>
          <w:sz w:val="20"/>
        </w:rPr>
        <w:t xml:space="preserve">We filed an appeal with the Court of Appeal of Canada (“Court of Appeal”), which was heard in </w:t>
      </w:r>
      <w:r>
        <w:rPr>
          <w:rStyle w:val="Emphasis"/>
          <w:rFonts w:ascii="Times New Roman;Times;serif" w:hAnsi="Times New Roman;Times;serif"/>
          <w:sz w:val="20"/>
        </w:rPr>
        <w:t>April 2025.</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July 2024, </w:t>
      </w:r>
      <w:r>
        <w:rPr>
          <w:rFonts w:ascii="Times New Roman;Times;serif" w:hAnsi="Times New Roman;Times;serif"/>
          <w:sz w:val="20"/>
        </w:rPr>
        <w:t xml:space="preserve">Kobold filed a motion with the Canada Court regarding whether the injunction allowed us to modify our product or, as Kobold contends, we needed to destroy or deliver the product to Kobold. This matter has been stayed by the parties pending the resolution of the redetermination described below. If the Canada Court agrees with Kobold, a fine or other remedy </w:t>
      </w:r>
      <w:r>
        <w:rPr>
          <w:rStyle w:val="Emphasis"/>
          <w:rFonts w:ascii="Times New Roman;Times;serif" w:hAnsi="Times New Roman;Times;serif"/>
          <w:sz w:val="20"/>
        </w:rPr>
        <w:t xml:space="preserve">may </w:t>
      </w:r>
      <w:r>
        <w:rPr>
          <w:rFonts w:ascii="Times New Roman;Times;serif" w:hAnsi="Times New Roman;Times;serif"/>
          <w:sz w:val="20"/>
        </w:rPr>
        <w:t>be imposed against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2025, </w:t>
      </w:r>
      <w:r>
        <w:rPr>
          <w:rFonts w:ascii="Times New Roman" w:hAnsi="Times New Roman"/>
          <w:caps w:val="false"/>
          <w:smallCaps w:val="false"/>
          <w:sz w:val="20"/>
        </w:rPr>
        <w:t xml:space="preserve">the Court of Appeal found that the trial judge erred in construing Kobold’s patent claims and set aside the findings of infringement, the permanent injunction, and the costs award. The Court of Appeal remitted the case back to the trial court to reconsider whether Kobold's patent is invalid for double patenting (claiming the same invention in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different patents), with the redetermination hearing scheduled for </w:t>
      </w:r>
      <w:r>
        <w:rPr>
          <w:rStyle w:val="Emphasis"/>
          <w:rFonts w:ascii="Times New Roman" w:hAnsi="Times New Roman"/>
          <w:caps w:val="false"/>
          <w:smallCaps w:val="false"/>
          <w:sz w:val="20"/>
        </w:rPr>
        <w:t>September 2026. </w:t>
      </w:r>
      <w:r>
        <w:rPr>
          <w:rFonts w:ascii="Times New Roman" w:hAnsi="Times New Roman"/>
          <w:caps w:val="false"/>
          <w:smallCaps w:val="false"/>
          <w:sz w:val="20"/>
        </w:rPr>
        <w:t xml:space="preserve">The Court of Appeal reduced the costs award from approximately $1.8 million to approximately $0.9 million and further indicated that if Kobold's patent is found invalid on remand, the costs award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further reduced or eliminated. As a result of the reduced costs award, Kobold returned </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million to NCS in </w:t>
      </w:r>
      <w:r>
        <w:rPr>
          <w:rStyle w:val="Emphasis"/>
          <w:rFonts w:ascii="Times New Roman" w:hAnsi="Times New Roman"/>
          <w:caps w:val="false"/>
          <w:smallCaps w:val="false"/>
          <w:sz w:val="20"/>
        </w:rPr>
        <w:t>November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While the Court of Appeal’s reasoning indicates that Kobold’s patent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found invalid on remand, we cannot predict with certainty the outcome of the remand proceedings. If Kobold’s patent is ultimately upheld as valid and we are found to infringe,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appeal the remand decision, and, if unsuccessful, damages would then be determined by the Canada Court, likely extending the resolution of this matter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years after the remand decision. We would expect any damages awarded to be modest because of the relative ease and minimal cost incurred to implement changes to our product, with such changes resulting in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commercial impact to date. As of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believe a loss is reasonably possible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and any possible loss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reasonably estimable.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180"/>
        <w:jc w:val="left"/>
        <w:rPr/>
      </w:pPr>
      <w:r>
        <w:rPr/>
        <w:t xml:space="preserve">●  </w:t>
      </w:r>
      <w:r>
        <w:rPr>
          <w:sz w:val="20"/>
        </w:rPr>
        <w:t xml:space="preserve">In </w:t>
      </w:r>
      <w:r>
        <w:rPr>
          <w:rStyle w:val="Emphasis"/>
          <w:sz w:val="20"/>
        </w:rPr>
        <w:t xml:space="preserve">April 2020, </w:t>
      </w:r>
      <w:r>
        <w:rPr>
          <w:sz w:val="20"/>
        </w:rPr>
        <w:t xml:space="preserve">Kobold filed a separate patent infringement lawsuit seeking unspecified damages against us in the Canada Court, alleging that our fracturing tools infringe their Canadian patents. In the summary judgment phase, we successfully had claims relating to some of our products dismissed. We believe we have strong arguments of invalidity and non-infringement as to all remaining claims in this matter. We expect the trial for this matter to be held in the </w:t>
      </w:r>
      <w:r>
        <w:rPr>
          <w:rStyle w:val="Emphasis"/>
          <w:sz w:val="20"/>
        </w:rPr>
        <w:t>fourth</w:t>
      </w:r>
      <w:r>
        <w:rPr>
          <w:sz w:val="20"/>
        </w:rPr>
        <w:t xml:space="preserve"> quarter of </w:t>
      </w:r>
      <w:r>
        <w:rPr>
          <w:rStyle w:val="Emphasis"/>
          <w:sz w:val="20"/>
        </w:rPr>
        <w:t>2026.</w:t>
      </w:r>
      <w:r>
        <w:rPr>
          <w:sz w:val="20"/>
        </w:rPr>
        <w:t xml:space="preserve">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180"/>
        <w:jc w:val="left"/>
        <w:rPr>
          <w:rFonts w:ascii="Times New Roman" w:hAnsi="Times New Roman"/>
          <w:b/>
          <w:i/>
          <w:sz w:val="20"/>
        </w:rPr>
      </w:pPr>
      <w:r>
        <w:rPr>
          <w:rFonts w:ascii="Times New Roman" w:hAnsi="Times New Roman"/>
          <w:b/>
          <w:i/>
          <w:sz w:val="20"/>
        </w:rPr>
        <w:t>Other Patent Matters </w:t>
      </w:r>
    </w:p>
    <w:p>
      <w:pPr>
        <w:pStyle w:val="TextBody"/>
        <w:bidi w:val="0"/>
        <w:ind w:left="0" w:right="0" w:firstLine="360"/>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In connection with patent infringement claims we asserted regarding U.S.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10,465,445</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’445</w:t>
      </w:r>
      <w:r>
        <w:rPr>
          <w:rFonts w:ascii="Times New Roman" w:hAnsi="Times New Roman"/>
          <w:caps w:val="false"/>
          <w:smallCaps w:val="false"/>
          <w:sz w:val="20"/>
        </w:rPr>
        <w:t xml:space="preserve"> Patent”), we received favorable jury verdicts against Nine Energy Services, Inc. (“Nine”) and TCO AS (“TCO”) in the Western District of Texas, Waco Division (“Waco District Court”). 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the jury awarded NCS approximately $0.5 million in damages against Nine, and in </w:t>
      </w:r>
      <w:r>
        <w:rPr>
          <w:rStyle w:val="Emphasis"/>
          <w:rFonts w:ascii="Times New Roman" w:hAnsi="Times New Roman"/>
          <w:caps w:val="false"/>
          <w:smallCaps w:val="false"/>
          <w:sz w:val="20"/>
        </w:rPr>
        <w:t xml:space="preserve"> August 2022, </w:t>
      </w:r>
      <w:r>
        <w:rPr>
          <w:rFonts w:ascii="Times New Roman" w:hAnsi="Times New Roman"/>
          <w:caps w:val="false"/>
          <w:smallCaps w:val="false"/>
          <w:sz w:val="20"/>
        </w:rPr>
        <w:t xml:space="preserve">the jury awarded NCS approximately $1.9 million in damages against TCO. At subsequent hearings in </w:t>
      </w:r>
      <w:r>
        <w:rPr>
          <w:rStyle w:val="Emphasis"/>
          <w:rFonts w:ascii="Times New Roman" w:hAnsi="Times New Roman"/>
          <w:caps w:val="false"/>
          <w:smallCaps w:val="false"/>
          <w:sz w:val="20"/>
        </w:rPr>
        <w:t xml:space="preserve">December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2024, </w:t>
      </w:r>
      <w:r>
        <w:rPr>
          <w:rFonts w:ascii="Times New Roman" w:hAnsi="Times New Roman"/>
          <w:caps w:val="false"/>
          <w:smallCaps w:val="false"/>
          <w:sz w:val="20"/>
        </w:rPr>
        <w:t xml:space="preserve">respectively, the Waco District Court awarded supplemental damages, interest, and costs, and ordered both Nine and TCO to pay ongoing royalties for their sales of infringing casing flotation devices for the life of the </w:t>
      </w:r>
      <w:r>
        <w:rPr>
          <w:rStyle w:val="Emphasis"/>
          <w:rFonts w:ascii="Times New Roman" w:hAnsi="Times New Roman"/>
          <w:caps w:val="false"/>
          <w:smallCaps w:val="false"/>
          <w:sz w:val="20"/>
        </w:rPr>
        <w:t>’445</w:t>
      </w:r>
      <w:r>
        <w:rPr>
          <w:rFonts w:ascii="Times New Roman" w:hAnsi="Times New Roman"/>
          <w:caps w:val="false"/>
          <w:smallCaps w:val="false"/>
          <w:sz w:val="20"/>
        </w:rPr>
        <w:t xml:space="preserve"> Patent.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Nine and TCO have posted security totaling over $7.5 million to secure the judgments pending their appeal. Nine and TCO appealed their respective judgments to the U.S. Court of Appeals for the Federal Circuit (the “Federal Circuit”). Nine and TCO filed their respective opening appellate briefs in late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we filed our responses in early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Oral argument was held 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and decisions from the Federal Circuit remain pending. An adverse ruling could result in a remand,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us to retry the case or reassess our enforcement strategy. As the decisions are subject to appeal, we have </w:t>
      </w:r>
      <w:r>
        <w:rPr>
          <w:rStyle w:val="Emphasis"/>
          <w:rFonts w:ascii="Times New Roman" w:hAnsi="Times New Roman"/>
          <w:caps w:val="false"/>
          <w:smallCaps w:val="false"/>
          <w:sz w:val="20"/>
        </w:rPr>
        <w:t>not</w:t>
      </w:r>
      <w:r>
        <w:rPr>
          <w:rFonts w:ascii="Times New Roman" w:hAnsi="Times New Roman"/>
          <w:caps w:val="false"/>
          <w:smallCaps w:val="false"/>
          <w:sz w:val="20"/>
        </w:rPr>
        <w:t> recorded any potential gain contingencies associated with these matters in the accompanying condensed consolidated statements of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In accordance with GAAP, we accrue for contingencies where the occurrence of a material loss is probable and can be reasonably estimated. Our legal contingencies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increase or decrease, on a matter-by-matter basis, to account for future developments. Legal costs expected to be incurred in connection with a loss contingency are expensed as incurred. Although the outcome of any legal proceeding cannot be predicted with any certainty, our assessment of the likely outcome of litigation matters is based on our judgment of a number of factors, including experience with similar matters, past history, precedents, relevant financial information and other evidence and facts specific to each matter.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Share-Based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granted 53,948 equity-classified restricted stock units (“RSUs”) with a weighted average grant date fair value of $40.06. We account for RSUs granted to employees at fair value, which we measure as the closing price of our common stock on the date of grant, and we recognize the compensation expense in the financial statements over the requisite service period. The RSUs granted to our employees generally vest over a period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equal annual installments beginning on or around the anniversary of the date of grant. The RSUs granted to the nonemployee members of our Board generally vest on or around the one-year anniversary of the grant date and either settle at vesting or, if the director has elected to defer the RSUs, within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days following the earlier of the termination of the director’s service for any reason or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granted 34,622 equivalent stock units, or cash-settled, liability-classified RSUs (“ESUs”), with a weighted average grant date fair value of $40.06. When ESUs are granted to employees, they are valued at fair value, which we measure at the closing price of our common stock on the date of grant. Since ESUs are settled in cash, we record a liability, which is remeasured each reporting period at fair value based upon the closing price of our common stock until the awards are settled. The ESUs granted to our employees generally vest and settle over a period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equal annual installments beginning on or around the anniversary of the date of grant. The cash settled for any ESU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the maximum payout established by our Compensation, Nominating and Governance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addition, during the three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we granted 25,420 performance stock unit awards (“PSUs”), which have a performance period from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The PSUs grant date fair value of $36.68 was measured using a Monte Carlo simulation. The number of PSUs ultimately issued is dependent upon our total shareholder return (“TSR”) relative to our performance peer group (“relative TSR”) over a three-year performance period and is subject to an absolute TSR modifier,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reduce or increase payouts based on whether our absolute TSR is above or below specified thresholds. Each PSU associated with the </w:t>
      </w:r>
      <w:r>
        <w:rPr>
          <w:rStyle w:val="Emphasis"/>
          <w:rFonts w:ascii="Times New Roman" w:hAnsi="Times New Roman"/>
          <w:caps w:val="false"/>
          <w:smallCaps w:val="false"/>
          <w:sz w:val="20"/>
        </w:rPr>
        <w:t>March 2026</w:t>
      </w:r>
      <w:r>
        <w:rPr>
          <w:rFonts w:ascii="Times New Roman" w:hAnsi="Times New Roman"/>
          <w:caps w:val="false"/>
          <w:smallCaps w:val="false"/>
          <w:sz w:val="20"/>
        </w:rPr>
        <w:t xml:space="preserve"> award will settle for between zero and 1.25 shares of our common stock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The threshold performance level (25th percentile relative TSR) earns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the target PSUs, the mid-point performance level (50th percentile relative TSR) earns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target PSUs and the maximum performance level (75th percentile relative TSR) earns </w:t>
      </w:r>
      <w:r>
        <w:rPr>
          <w:rStyle w:val="Emphasis"/>
          <w:rFonts w:ascii="Times New Roman" w:hAnsi="Times New Roman"/>
          <w:caps w:val="false"/>
          <w:smallCaps w:val="false"/>
          <w:sz w:val="20"/>
        </w:rPr>
        <w:t>125%</w:t>
      </w:r>
      <w:r>
        <w:rPr>
          <w:rFonts w:ascii="Times New Roman" w:hAnsi="Times New Roman"/>
          <w:caps w:val="false"/>
          <w:smallCaps w:val="false"/>
          <w:sz w:val="20"/>
        </w:rPr>
        <w:t xml:space="preserve"> of the target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Total share-based compensation expense for all awards was $1.2 million and $1.4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caps w:val="false"/>
          <w:smallCaps w:val="false"/>
          <w:sz w:val="20"/>
        </w:rPr>
        <w:t>Note</w:t>
      </w:r>
      <w:r>
        <w:rPr>
          <w:rFonts w:ascii="Times New Roman;Times;serif" w:hAnsi="Times New Roman;Times;serif"/>
          <w:caps w:val="false"/>
          <w:smallCaps w:val="false"/>
          <w:sz w:val="20"/>
        </w:rPr>
        <w:t> </w:t>
      </w:r>
      <w:r>
        <w:rPr>
          <w:rStyle w:val="Emphasis"/>
          <w:rFonts w:ascii="Times New Roman;Times;serif" w:hAnsi="Times New Roman;Times;serif"/>
          <w:b/>
          <w:caps w:val="false"/>
          <w:smallCaps w:val="false"/>
          <w:sz w:val="20"/>
        </w:rPr>
        <w:t>13.</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The computation of the annual estimated effective tax rate at each interim period requires certain estimates and assumptions including, but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limited to, the expected operating income (or loss) for the year, projections of the proportion of income (or loss) earned and taxed in foreign jurisdictions, permanent and temporary differences and the likelihood of recovering deferred tax assets generated in the current year. The accounting estimates used to compute the provision for income taxes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change as new events occur, more experience is acquired, or additional information is obtained. The computation of the annual estimated effective tax rate includes applicable modifications, which were projected for the year, such as certain book expenses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deductible for tax, tax credits and foreign deemed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Our effective tax rate (“ETR”) from continuing operations was 32.4% and 13.1%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March 31, 2026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respectively. The income tax expense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March 31, 2026 </w:t>
      </w:r>
      <w:r>
        <w:rPr>
          <w:rFonts w:ascii="Times New Roman;Times;serif" w:hAnsi="Times New Roman;Times;serif"/>
          <w:caps w:val="false"/>
          <w:smallCaps w:val="false"/>
          <w:sz w:val="20"/>
        </w:rPr>
        <w:t xml:space="preserve">and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relates to results generated by our businesses in the United States, Canada, and certain other foreign jurisdictions. The income tax provision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March 31, 2025 </w:t>
      </w:r>
      <w:r>
        <w:rPr>
          <w:rFonts w:ascii="Times New Roman;Times;serif" w:hAnsi="Times New Roman;Times;serif"/>
          <w:caps w:val="false"/>
          <w:smallCaps w:val="false"/>
          <w:sz w:val="20"/>
        </w:rPr>
        <w:t>did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include the effects of losses within the United States, Canada, or other jurisdictions, as we determined at that time those losses would provide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future benefit. However, during the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fourth</w:t>
      </w:r>
      <w:r>
        <w:rPr>
          <w:rFonts w:ascii="Times New Roman;Times;serif" w:hAnsi="Times New Roman;Times;serif"/>
          <w:caps w:val="false"/>
          <w:smallCaps w:val="false"/>
          <w:sz w:val="20"/>
        </w:rPr>
        <w:t xml:space="preserve"> quarters of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respectively, we reversed substantially all of the valuation allowance previously recorded against the deferred tax assets of our Canadian and U.S operating subsidiaries due to sustained improvements in operating results, including a return to profitability and forecasts of future taxable income sufficient to realize the remaining deferred tax assets. Management considered a variety of positive and negative evidence which provided a basis for the conclusion that it is more likely than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that the deferred tax assets will be realized in future periods.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18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Canada Tax Reassessments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are routinely subject to tax audits and reviews in various jurisdictions around the world. Tax authorities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challenge tax positions taken by us and our interpretation of the tax laws in specific jurisdictions.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2026, </w:t>
      </w:r>
      <w:r>
        <w:rPr>
          <w:rFonts w:ascii="Times New Roman" w:hAnsi="Times New Roman"/>
          <w:caps w:val="false"/>
          <w:smallCaps w:val="false"/>
          <w:sz w:val="20"/>
        </w:rPr>
        <w:t xml:space="preserve">our Canadian subsidiary, NCS Multistage Inc. (“NCS Canada”), received a Notice of Reassessment (“NOR”) from the Canada Revenue Agency (“CRA”) for approximately CAD $18.6 million ($13.3 million USD, converted using the exchange rate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relating to the taxation years ended </w:t>
      </w:r>
      <w:r>
        <w:rPr>
          <w:rStyle w:val="Emphasis"/>
          <w:rFonts w:ascii="Times New Roman" w:hAnsi="Times New Roman"/>
          <w:caps w:val="false"/>
          <w:smallCaps w:val="false"/>
          <w:sz w:val="20"/>
        </w:rPr>
        <w:t xml:space="preserve">November 30, 2017, December 31, 2019, December 31,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Subsequently, 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the CRA revised their reassessment to approximately CAD $19.3 million ($13.9 million USD), including approximately CAD $15.2 million ($10.9 million USD) in income taxes, and approximately CAD $4.1 million ($3.0 million USD) in interest and penalties. The CRA disallowed certain business expenses of NCS Canada 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income tax purposes in tax years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including what we would characterize as ordinary course operating expenses as well as expenses subject to transfer pricing adjustments that are supported by annual </w:t>
      </w:r>
      <w:r>
        <w:rPr>
          <w:rStyle w:val="Emphasis"/>
          <w:rFonts w:ascii="Times New Roman" w:hAnsi="Times New Roman"/>
          <w:caps w:val="false"/>
          <w:smallCaps w:val="false"/>
          <w:sz w:val="20"/>
        </w:rPr>
        <w:t>third</w:t>
      </w:r>
      <w:r>
        <w:rPr>
          <w:rFonts w:ascii="Times New Roman" w:hAnsi="Times New Roman"/>
          <w:caps w:val="false"/>
          <w:smallCaps w:val="false"/>
          <w:sz w:val="20"/>
        </w:rPr>
        <w:t>-party transfer pricing studies. The CRA further asserted that taxable income should be adjusted in those tax years and in other years subject to carryback adjustments.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following the NOR described above, NCS Canada received a Notice of Reassessment for Corporate Income Tax from the Province of Alberta (“Alberta”) for the same matter resulting in an additional amount assessed of approximately CAD $7.9 million ($5.7 million USD), including approximately CAD $6.2 million ($4.5 million USD) in income taxes and approximately CAD $1.7 million ($1.2 million USD) in interest and penalties. Also, as the CRA revised its reassessment as discussed above, a corresponding revision for the Alberta reassessment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follow. The amounts assessed by the CRA and Alberta are each subject to change during the administrative review processes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increase or decrease due to additional interest and penalties or further reassessment by the applicable taxing authority. These reassessments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be extended to involve other NCS entities or taxation years.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filed a Notice of Objection with the CRA in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with the assistance of external advisors, as we believe our tax positions are supportable under applicable Canadian tax laws. Prior to the Alberta deadline at the end of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we will notify Alberta of the Notice of Objection we provided to the CRA. We intend to pursue all available administrative and judicial remedies necessary to resolve this matter.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NCS MULTISTAGE HOLDINGS,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UNAUDITED CONDENSED CONSOLIDATED FINANCIAL STATEMENTS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 liability related to the CRA NOR or the Alberta reassessment in the consolidated financial statements in accordance with treatment prescribed for uncertain tax positions under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“Income Taxes,” as we believe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our tax filing positions will ultimately be sustained. We cannot predict the ultimate outcome of this matter and the final disposition of any appeals, which could take years to resolve. If we are unable to successfully defend our tax positions with the CRA or Alberta,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record additional tax liability and record tax expense, as well as penalty and interest. Also, it is likely that NCS Canada will be required to make a cash deposit of approximately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of the CRA and Alberta assessed amounts while the appeals process is underway. Any cash deposits would be recorded as long-term assets on the condensed consolidated balance sheet, with an immaterial impact on net income.</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caps w:val="false"/>
          <w:smallCaps w:val="false"/>
          <w:sz w:val="20"/>
          <w:shd w:fill="FFFFFF" w:val="clear"/>
        </w:rPr>
        <w:t> </w:t>
      </w:r>
      <w:r>
        <w:rPr>
          <w:rFonts w:ascii="Times New Roman" w:hAnsi="Times New Roman"/>
          <w:b/>
          <w:caps w:val="false"/>
          <w:smallCaps w:val="false"/>
          <w:sz w:val="20"/>
          <w:shd w:fill="FFFFFF" w:val="clear"/>
        </w:rPr>
        <w:t>(Loss) Earnings Per Co</w:t>
      </w:r>
      <w:r>
        <w:rPr>
          <w:rFonts w:ascii="Times New Roman" w:hAnsi="Times New Roman"/>
          <w:b/>
          <w:caps w:val="false"/>
          <w:smallCaps w:val="false"/>
          <w:sz w:val="20"/>
        </w:rPr>
        <w:t xml:space="preserve">mmon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presents the reconciliation of the numerator and denominator for calculating (loss) earnings per common share (in thousands, except per share data): </w:t>
      </w:r>
    </w:p>
    <w:p>
      <w:pPr>
        <w:pStyle w:val="TextBody"/>
        <w:bidi w:val="0"/>
        <w:spacing w:before="0" w:after="0"/>
        <w:ind w:left="0" w:right="0" w:firstLine="360"/>
        <w:jc w:val="left"/>
        <w:rPr>
          <w:caps w:val="false"/>
          <w:smallCaps w:val="false"/>
        </w:rPr>
      </w:pPr>
      <w:r>
        <w:rPr>
          <w:caps w:val="false"/>
          <w:smallCaps w:val="false"/>
        </w:rPr>
        <w:t> </w:t>
      </w:r>
    </w:p>
    <w:tbl>
      <w:tblPr>
        <w:tblW w:w="7041" w:type="dxa"/>
        <w:jc w:val="left"/>
        <w:tblInd w:w="0" w:type="dxa"/>
        <w:tblLayout w:type="fixed"/>
        <w:tblCellMar>
          <w:top w:w="0" w:type="dxa"/>
          <w:left w:w="0" w:type="dxa"/>
          <w:bottom w:w="0" w:type="dxa"/>
          <w:right w:w="0" w:type="dxa"/>
        </w:tblCellMar>
      </w:tblPr>
      <w:tblGrid>
        <w:gridCol w:w="5165"/>
        <w:gridCol w:w="60"/>
        <w:gridCol w:w="161"/>
        <w:gridCol w:w="627"/>
        <w:gridCol w:w="103"/>
        <w:gridCol w:w="77"/>
        <w:gridCol w:w="161"/>
        <w:gridCol w:w="627"/>
        <w:gridCol w:w="60"/>
      </w:tblGrid>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4,056</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number of shares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2,629</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other equity awards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number of shares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2,629</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earnings per common share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Potentially dilutive securities excluded as anti-dilutive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 xml:space="preserve">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The following discussion and analysis of our financial condition and results of operations should be read together with our financial statements and the related notes thereto included in this Quarterly Report on Form 10-Q (</w:t>
      </w:r>
      <w:r>
        <w:rPr>
          <w:rFonts w:ascii="Times New Roman" w:hAnsi="Times New Roman"/>
          <w:caps w:val="false"/>
          <w:smallCaps w:val="false"/>
          <w:sz w:val="20"/>
        </w:rPr>
        <w:t>“</w:t>
      </w:r>
      <w:r>
        <w:rPr>
          <w:rFonts w:ascii="Times New Roman" w:hAnsi="Times New Roman"/>
          <w:i/>
          <w:caps w:val="false"/>
          <w:smallCaps w:val="false"/>
          <w:sz w:val="20"/>
        </w:rPr>
        <w:t>Quarterly Report</w:t>
      </w:r>
      <w:r>
        <w:rPr>
          <w:rFonts w:ascii="Times New Roman" w:hAnsi="Times New Roman"/>
          <w:caps w:val="false"/>
          <w:smallCaps w:val="false"/>
          <w:sz w:val="20"/>
        </w:rPr>
        <w:t>”</w:t>
      </w:r>
      <w:r>
        <w:rPr>
          <w:rFonts w:ascii="Times New Roman" w:hAnsi="Times New Roman"/>
          <w:i/>
          <w:caps w:val="false"/>
          <w:smallCaps w:val="false"/>
          <w:sz w:val="20"/>
        </w:rPr>
        <w:t xml:space="preserve">) and with our audited financial statements and the related notes thereto included in our Annual Report on Form 10-K </w:t>
      </w:r>
      <w:r>
        <w:rPr>
          <w:rFonts w:ascii="Times New Roman" w:hAnsi="Times New Roman"/>
          <w:caps w:val="false"/>
          <w:smallCaps w:val="false"/>
          <w:sz w:val="20"/>
        </w:rPr>
        <w:t>(“</w:t>
      </w:r>
      <w:r>
        <w:rPr>
          <w:rFonts w:ascii="Times New Roman" w:hAnsi="Times New Roman"/>
          <w:i/>
          <w:caps w:val="false"/>
          <w:smallCaps w:val="false"/>
          <w:sz w:val="20"/>
        </w:rPr>
        <w:t>Annual Report</w:t>
      </w:r>
      <w:r>
        <w:rPr>
          <w:rFonts w:ascii="Times New Roman" w:hAnsi="Times New Roman"/>
          <w:caps w:val="false"/>
          <w:smallCaps w:val="false"/>
          <w:sz w:val="20"/>
        </w:rPr>
        <w:t>”)</w:t>
      </w:r>
      <w:r>
        <w:rPr>
          <w:rFonts w:ascii="Times New Roman" w:hAnsi="Times New Roman"/>
          <w:i/>
          <w:caps w:val="false"/>
          <w:smallCaps w:val="false"/>
          <w:sz w:val="20"/>
        </w:rPr>
        <w:t xml:space="preserve">, filed with the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This discussion and analysis contains forward-looking statements regarding the industry outlook, estimates and assumptions concerning events and financial and industry trends that may affect our future results of operations or financial condition and other non-historical statements. These forward-looking statements are subject to numerous risks and uncertainties, including but not limited to the risks and uncertainties described in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Our actual results may differ materially from those contained in or implied by these forward-looking statements. As used in this Quarterly Report, except where the context otherwise requires or where otherwise indicated, the terms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NCS,</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refer to NCS Multistage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a leading provider of highly engineered products and support services that facilitate the optimization of oil and natural gas well construction, well completion and field development strategies. We provide our products and services primarily to exploration and production (“E&amp;P”) companies for use in onshore and offshore wells, predominantly those that have been drilled with horizontal laterals in both unconventional and conventional oil and natural gas formations. Our products and services are utilized in oil and natural gas basins throughout North America and in selected international markets, including the North Sea, the Middle East and Argentina. We provide our products and services to various customers, including large independent oil and natural gas companies and major oil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primary offering is our fracturing systems products and services, which enable efficient pinpoint stimulation: the process of individually stimulating each entry point into a formation targeted by an oil or natural gas well. Our fracturing systems products and services can be used in both cemented and open-hole wellbores and enable our customers to precisely place stimulation treatments in a more controlled and repeatable manner as compared with alternative completion techniques. Our fracturing systems products and services are utilized in conjunction with third-party providers of pressure pumping, coiled tubing and other services. As an extension of fracturing systems, we offer enhanced recovery systems, which enable our customers to inject water, other fluids, or gases in a controlled manner with the objective of increasing the amount of hydrocarbons produced from their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own a 50% interest in Repeat Precision, LLC (“Repeat Precision”), which sells composite and dissolvable frac plugs, setting tools, perforating guns and related products. We provide tracer diagnostics services for well completion and reservoir characterization that utilize downhole chemical tracers. We sell products for well construction, including casing buoyancy systems, liner hanger systems and toe initiation sleeves as well as certain complementary products provided by third parties. We operate in one reportable segment that has been identified based on how our chief operating decision maker manages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July 31, 2025, we acquired 100% of the equity interests of Reservoir Metrics, LLC, and its related entities (“ResMetrics”), a provider of tracer diagnostics services, for $7.1 million, on a cash-free, debt-free basis. The purchase consideration included $1.3 million of contingent consideration, which was paid in January 2026. The acquisition expands our tracer diagnostics capabilities and strengthens our service offerings.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 xml:space="preserve">Our products </w:t>
      </w:r>
      <w:r>
        <w:rPr>
          <w:rFonts w:ascii="Times New Roman" w:hAnsi="Times New Roman"/>
          <w:sz w:val="20"/>
          <w:shd w:fill="FFFFFF" w:val="clear"/>
        </w:rPr>
        <w:t>and services are primarily sold to North American E&amp;P companies. Our ability to generate revenues from our products and services depends largely upon oil and natural gas drilling and completion activity in North America. Oil and natural gas drilling and completion activity is directly influenced by oil and natural gas prices.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Based on year-to-date E&amp;P company drilling and completion activity, expected capital budgets for the remainder of 2026, and recent industry reports, we believe: (i) Canadian and U.S. activity levels will remain stable relative to 2025, as many North American E&amp;P operators continue to emphasize capital discipline, conservative production growth targets, and returns-focused spending strategies despite elevated commodity prices; and (ii) overall spending in international markets is also expected to be stable relative to 2025. However, a prolonged conflict between the United States and Israel against Iran could keep commodity prices elevated, which could increase drilling and completion activity in Canada and the United States in the second half of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Oil and natural gas prices were volatile through 2025, a trend that continued into 2026. This volatility has been influenced by multiple factors, including trade tensions, the ongoing war between Russia and Ukraine, conflicts in the Middle East and U.S. involvement in Venezuela, including the recent and ongoing war involving the United States and Israel against Iran and associated disruptions and threats to commercial shipping in the Strait of Hormuz. Trade disruptions or any further escalation of these conflicts could intensify commodity price volatility. Also impacting commodity prices are adjustments in oil supply by OPEC+ countries, which began to phase out voluntary cuts in 2025, but recently, announced a flexible approach to future production adjustments in response to evolving market conditions and regional conflicts. See further discussion below on oil and natural gas pricing.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products and services face significant competitive pressures across all offerings, which has, and may continue to have, a negative impact on market share and operating margins for certain product lines. This competitive pressure constrains our ability to raise prices to offset rising costs, particularly during periods of higher cost inflation or periods affected by the uncertainty of escalating and de-escalating tariffs, with supply-chain costs impacted by the level of tariffs then in effect. While inflationary cost pressures moderated somewhat in prior years, the implementation of new tariffs, including steel and aluminum, and the continued threats of additional tariffs, have led to additional costs that we may not be able to recover through price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April 2025, and in the ensuing months thereafter, the U.S. Administration announced targeted tariff measures affecting multiple countries, many of which were substantial. Certain countries have since negotiated trade agreements with the United States, while others remain subject to elevated tariff rates, including baseline tariffs on imported goods and existing tariffs on steel and aluminum imposed under Section 232 of the Trade Expansion Act. These tariffs have increased our manufacturing costs, notably the cost of steel, and chemicals which are largely imported from China. Tariffs imposed by the U.S. Administration, or retaliatory tariffs imposed by other countries on goods imported from the United States could further increase our product costs—particularly tariffs affecting trade relations with Mexico, Canada, or China. Furthermore, U.S. tariffs on certain Canadian energy exports could reduce drilling and completion activity by our Canadian customers, potentially lowering demand for our products and services in that market. Goods covered by the United States-Mexico-Canada Agreement (“USMCA”) continue to be exempt from tariffs; however, ongoing trade tensions and the scheduled six-year joint review of the USMCA in July 2026 may result in amendments to the agreement, changes in interpretation or enforcement, or the implementation of additional measures that could affect USMCA-compliant goods. Our Repeat Precision joint venture provides manufacturing services for components used in our fracturing systems products in Mexico. We believe our supply chain in Mexico is currently compliant with the USMCA. We believe that products we ship from the United States to Canada are also compliant with the USMCA.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February 2026, the U.S. Supreme Court issued a decision invalidating most tariffs imposed by the U.S. Administration under the International Emergency Economic Powers Act. However, following that decision, the U.S. Administration announced and implemented alternative tariff measures under other statutory authorities, including expanded and restructured tariffs on steel, aluminum, and related products, while continuing to signal a willingness to impose additional or modified tariffs in response to trade and national security considerations. As a result, uncertainty and volatility related to tariffs and trade policy remain elevated.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 counter inflationary pressures on the economy, central banks, including the U.S. Federal Reserve, raised benchmark interest rates several times prior to September 2024, actions typically intended to increase borrowing costs and moderate economic activity. Beginning in September 2024, the U.S. Federal Reserve began lowering rates, with additional reductions throughout 2025 amid improving inflation and decelerating employment data growth. During 2026, the Federal Reserve has held benchmark interest rates steady while continuing to assess incoming economic data, including developments related to inflation, labor market conditions, tariff-related cost pressures, and global geopolitical risks. The pace and timing of any future rate adjustments remain uncertain and will depend on economic conditions and the evolving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Oil and Natural Gas Drilling and Completion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and natural gas prices remain volatile. The average WTI crude oil price increased in the first quarter of 2026 compared to the fourth quarter of 2025, largely attributable to the conflict in Iran and the significant supply disruptions. While incremental increases in oil supply from certain producing countries, including members of the Organization of the Petroleum Exporting Countries and certain other producing countries (collectively referred to as “OPEC+”), as well as some non-OPEC+ countries, provided modest supply support, these increases did not fully offset the scale of supply disruptions arising from geopolitical tensions, infrastructure risks, and transportation and logistical constraints.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 the past several years, to address the uncertain outlook for the global economy and, specifically, the oil markets, and to reduce the potential for an oversupply of oil and gas inventory, members of OPEC+ agreed to several collective voluntary oil production reductions. Beginning in 2025, OPEC+ began a gradual phase out of these voluntary reductions, while maintaining its stated commitment to market stability and retaining flexibility to pause, adjust, or reverse production changes. In early 2026, OPEC+ announced a pause on planned production increases for the first quarter of 2026 and subsequently announced in March 2026 that it would resume the gradual unwinding of voluntary production cuts beginning in April 2026. Subsequent to March 31, 2026, in April 2026, the United Arab Emirates announced its intention to exit OPEC and OPEC+ effective May 1, 2026, which may add to uncertainty around future oil supply coordination. The pace and scope of further OPEC+ member adjustments remain dependent on evolving market conditions, geopolitical developments and broader economic indicators. In addition, continued geopolitical instability, including potential attacks on energy infrastructure or disruptions to international maritime routes, could contribute to further volatility in global oil markets.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Natural gas pricing continues to be volatile and has increased for the first quarter of 2026 to an average of $4.71 per MMBtu compared to an average of $3.73 per MMBtu for the fourth quarter of 2025. The increase during the first quarter of 2026 was primarily driven by periods of colder-than-expected weather early in the year, higher seasonal demand, and increased demand associated with strong U.S. liquefied natural gas exports, which are operating near available capacity. These price increases were partially offset by continued strong production growth and higher than expected surplus levels of natural gas in storage. Realized natural gas prices for U.S. producers in West Texas and for Canadian E&amp;P customers are typically at a discount to U.S. Henry Hub pricing due to regional basis differentials.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Sustained significant declines in commodity prices, or sustained periods when the local pricing received in regional markets is below benchmark pricing, known in the industry as high differentials, which could be the result of tariffs, would be expected to lead North American E&amp;P companies to reduce drilling and completion activity,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sz w:val="20"/>
        </w:rPr>
      </w:pPr>
      <w:r>
        <w:rPr>
          <w:sz w:val="20"/>
        </w:rPr>
        <w:t xml:space="preserve">Listed and depicted below are recent crude oil and natural gas pricing trends, as provided by the Energy Information Administration (“EIA”) of the U.S. Department of Energy:  </w:t>
      </w:r>
    </w:p>
    <w:p>
      <w:pPr>
        <w:pStyle w:val="TextBody"/>
        <w:bidi w:val="0"/>
        <w:spacing w:before="0" w:after="0"/>
        <w:ind w:left="0" w:right="0" w:hanging="0"/>
        <w:jc w:val="left"/>
        <w:rPr/>
      </w:pPr>
      <w:r>
        <w:rPr/>
        <w:t> </w:t>
      </w:r>
    </w:p>
    <w:tbl>
      <w:tblPr>
        <w:tblW w:w="8507" w:type="dxa"/>
        <w:jc w:val="left"/>
        <w:tblInd w:w="0" w:type="dxa"/>
        <w:tblLayout w:type="fixed"/>
        <w:tblCellMar>
          <w:top w:w="0" w:type="dxa"/>
          <w:left w:w="0" w:type="dxa"/>
          <w:bottom w:w="0" w:type="dxa"/>
          <w:right w:w="0" w:type="dxa"/>
        </w:tblCellMar>
      </w:tblPr>
      <w:tblGrid>
        <w:gridCol w:w="1295"/>
        <w:gridCol w:w="60"/>
        <w:gridCol w:w="366"/>
        <w:gridCol w:w="1423"/>
        <w:gridCol w:w="60"/>
        <w:gridCol w:w="60"/>
        <w:gridCol w:w="382"/>
        <w:gridCol w:w="1482"/>
        <w:gridCol w:w="60"/>
        <w:gridCol w:w="60"/>
        <w:gridCol w:w="790"/>
        <w:gridCol w:w="2409"/>
        <w:gridCol w:w="60"/>
      </w:tblGrid>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Price</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WTI Crude (per Bbl)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Brent Crude (per Bbl)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Henry Hub Natural Gas (per MMBtu)</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3/31/2025</w:t>
            </w:r>
          </w:p>
        </w:tc>
        <w:tc>
          <w:tcPr>
            <w:tcW w:w="60" w:type="dxa"/>
            <w:tcBorders/>
            <w:shd w:fill="CCEEFF" w:val="clear"/>
            <w:vAlign w:val="center"/>
          </w:tcPr>
          <w:p>
            <w:pPr>
              <w:pStyle w:val="TableContents"/>
              <w:bidi w:val="0"/>
              <w:spacing w:before="0" w:after="283"/>
              <w:ind w:left="0" w:right="0" w:hanging="0"/>
              <w:jc w:val="left"/>
              <w:rPr/>
            </w:pPr>
            <w:r>
              <w:rPr/>
              <w:t> </w:t>
            </w:r>
          </w:p>
        </w:tc>
        <w:tc>
          <w:tcPr>
            <w:tcW w:w="3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6/30/2025</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hanging="0"/>
              <w:jc w:val="left"/>
              <w:rPr/>
            </w:pPr>
            <w:r>
              <w:rPr/>
              <w:t> </w:t>
            </w:r>
          </w:p>
        </w:tc>
        <w:tc>
          <w:tcPr>
            <w:tcW w:w="14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ind w:left="0" w:right="0" w:hanging="0"/>
              <w:jc w:val="left"/>
              <w:rPr/>
            </w:pPr>
            <w:r>
              <w:rPr/>
              <w:t> </w:t>
            </w:r>
          </w:p>
        </w:tc>
        <w:tc>
          <w:tcPr>
            <w:tcW w:w="14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ind w:left="0" w:right="0" w:hanging="0"/>
              <w:jc w:val="left"/>
              <w:rPr/>
            </w:pPr>
            <w:r>
              <w:rPr/>
              <w:t> </w:t>
            </w:r>
          </w:p>
        </w:tc>
        <w:tc>
          <w:tcPr>
            <w:tcW w:w="24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9/30/2025</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14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ind w:left="0" w:right="0" w:hanging="0"/>
              <w:jc w:val="left"/>
              <w:rPr/>
            </w:pPr>
            <w:r>
              <w:rPr/>
              <w:t> </w:t>
            </w:r>
          </w:p>
        </w:tc>
        <w:tc>
          <w:tcPr>
            <w:tcW w:w="2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12/31/2025</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hanging="0"/>
              <w:jc w:val="left"/>
              <w:rPr/>
            </w:pPr>
            <w:r>
              <w:rPr/>
              <w:t> </w:t>
            </w:r>
          </w:p>
        </w:tc>
        <w:tc>
          <w:tcPr>
            <w:tcW w:w="14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ind w:left="0" w:right="0" w:hanging="0"/>
              <w:jc w:val="left"/>
              <w:rPr/>
            </w:pPr>
            <w:r>
              <w:rPr/>
              <w:t> </w:t>
            </w:r>
          </w:p>
        </w:tc>
        <w:tc>
          <w:tcPr>
            <w:tcW w:w="14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ind w:left="0" w:right="0" w:hanging="0"/>
              <w:jc w:val="left"/>
              <w:rPr/>
            </w:pPr>
            <w:r>
              <w:rPr/>
              <w:t> </w:t>
            </w:r>
          </w:p>
        </w:tc>
        <w:tc>
          <w:tcPr>
            <w:tcW w:w="24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3/31/2026</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14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ind w:left="0" w:right="0" w:hanging="0"/>
              <w:jc w:val="left"/>
              <w:rPr/>
            </w:pPr>
            <w:r>
              <w:rPr/>
              <w:t> </w:t>
            </w:r>
          </w:p>
        </w:tc>
        <w:tc>
          <w:tcPr>
            <w:tcW w:w="24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24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7858125" cy="2552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58125" cy="2552700"/>
                    </a:xfrm>
                    <a:prstGeom prst="rect">
                      <a:avLst/>
                    </a:prstGeom>
                  </pic:spPr>
                </pic:pic>
              </a:graphicData>
            </a:graphic>
          </wp:inline>
        </w:drawing>
      </w:r>
    </w:p>
    <w:p>
      <w:pPr>
        <w:pStyle w:val="TextBody"/>
        <w:bidi w:val="0"/>
        <w:spacing w:before="0" w:after="0"/>
        <w:jc w:val="center"/>
        <w:rPr/>
      </w:pPr>
      <w:r>
        <w:rPr/>
        <w:t xml:space="preserve">  </w:t>
      </w:r>
    </w:p>
    <w:p>
      <w:pPr>
        <w:pStyle w:val="TextBody"/>
        <w:bidi w:val="0"/>
        <w:spacing w:before="0" w:after="0"/>
        <w:ind w:left="0" w:right="0" w:hanging="0"/>
        <w:jc w:val="center"/>
        <w:rPr/>
      </w:pPr>
      <w:r>
        <w:rPr/>
        <w:drawing>
          <wp:inline distT="0" distB="0" distL="0" distR="0">
            <wp:extent cx="7858125" cy="3200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58125" cy="3200400"/>
                    </a:xfrm>
                    <a:prstGeom prst="rect">
                      <a:avLst/>
                    </a:prstGeom>
                  </pic:spPr>
                </pic:pic>
              </a:graphicData>
            </a:graphic>
          </wp:inline>
        </w:drawing>
      </w:r>
    </w:p>
    <w:p>
      <w:pPr>
        <w:pStyle w:val="TextBody"/>
        <w:bidi w:val="0"/>
        <w:spacing w:before="0" w:after="0"/>
        <w:ind w:left="0" w:right="0" w:hanging="0"/>
        <w:jc w:val="center"/>
        <w:rPr/>
      </w:pPr>
      <w:r>
        <w:rPr/>
        <w:t xml:space="preserve">  </w:t>
      </w:r>
    </w:p>
    <w:p>
      <w:pPr>
        <w:pStyle w:val="TextBody"/>
        <w:bidi w:val="0"/>
        <w:ind w:left="0" w:right="0" w:firstLine="540"/>
        <w:jc w:val="left"/>
        <w:rPr>
          <w:rFonts w:ascii="Times New Roman" w:hAnsi="Times New Roman"/>
          <w:sz w:val="20"/>
        </w:rPr>
      </w:pPr>
      <w:r>
        <w:rPr>
          <w:rFonts w:ascii="Times New Roman" w:hAnsi="Times New Roman"/>
          <w:sz w:val="20"/>
        </w:rPr>
        <w:t xml:space="preserve">Listed and depicted below are the average number of operating onshore rigs in the United States and in Canada per quarter since the first quarter of 2025, as provided by Baker Hughes Company. The quarterly changes are impacted by seasonality, particularly the effect of the spring break-up during the second quarter on the Canadian land rig count: </w:t>
      </w:r>
    </w:p>
    <w:p>
      <w:pPr>
        <w:pStyle w:val="TextBody"/>
        <w:bidi w:val="0"/>
        <w:spacing w:before="0" w:after="0"/>
        <w:ind w:left="0" w:right="0" w:hanging="0"/>
        <w:jc w:val="left"/>
        <w:rPr>
          <w:caps w:val="false"/>
          <w:smallCaps w:val="false"/>
        </w:rPr>
      </w:pPr>
      <w:r>
        <w:rPr>
          <w:caps w:val="false"/>
          <w:smallCaps w:val="false"/>
        </w:rPr>
        <w:t> </w:t>
      </w:r>
    </w:p>
    <w:tbl>
      <w:tblPr>
        <w:tblW w:w="5618" w:type="dxa"/>
        <w:jc w:val="left"/>
        <w:tblInd w:w="0" w:type="dxa"/>
        <w:tblLayout w:type="fixed"/>
        <w:tblCellMar>
          <w:top w:w="0" w:type="dxa"/>
          <w:left w:w="0" w:type="dxa"/>
          <w:bottom w:w="0" w:type="dxa"/>
          <w:right w:w="0" w:type="dxa"/>
        </w:tblCellMar>
      </w:tblPr>
      <w:tblGrid>
        <w:gridCol w:w="1295"/>
        <w:gridCol w:w="60"/>
        <w:gridCol w:w="128"/>
        <w:gridCol w:w="716"/>
        <w:gridCol w:w="99"/>
        <w:gridCol w:w="99"/>
        <w:gridCol w:w="177"/>
        <w:gridCol w:w="997"/>
        <w:gridCol w:w="99"/>
        <w:gridCol w:w="99"/>
        <w:gridCol w:w="270"/>
        <w:gridCol w:w="1519"/>
        <w:gridCol w:w="60"/>
      </w:tblGrid>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 Drilling Rig Count</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Quarter Ended</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 Land</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Canada Land</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North America Land</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3/31/2025</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6/30/2025</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5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9/30/2025</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703</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12/31/2025</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ind w:left="0" w:right="0" w:hanging="0"/>
              <w:jc w:val="left"/>
              <w:rPr/>
            </w:pPr>
            <w:r>
              <w:rPr/>
              <w:t> </w:t>
            </w:r>
          </w:p>
        </w:tc>
        <w:tc>
          <w:tcPr>
            <w:tcW w:w="15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60"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3/31/2026</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ind w:left="0" w:right="0" w:hanging="0"/>
              <w:jc w:val="left"/>
              <w:rPr/>
            </w:pPr>
            <w:r>
              <w:rPr/>
              <w:t> </w:t>
            </w:r>
          </w:p>
        </w:tc>
        <w:tc>
          <w:tcPr>
            <w:tcW w:w="15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732</w:t>
            </w:r>
          </w:p>
        </w:tc>
        <w:tc>
          <w:tcPr>
            <w:tcW w:w="60"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drawing>
          <wp:inline distT="0" distB="0" distL="0" distR="0">
            <wp:extent cx="7858125" cy="2686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858125" cy="2686050"/>
                    </a:xfrm>
                    <a:prstGeom prst="rect">
                      <a:avLst/>
                    </a:prstGeom>
                  </pic:spPr>
                </pic:pic>
              </a:graphicData>
            </a:graphic>
          </wp:inline>
        </w:drawing>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bidi w:val="0"/>
        <w:spacing w:before="0" w:after="0"/>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Over the past several years, North American E&amp;P companies have been able to reduce their cost structures and have also utilized technologies, including ours, to increase efficiency and improve well performance. In the first quarter of 2026, the average U.S. land rig count was 533, a decline of 7% compared to the first quarter of 2025, but relatively stable compared to the fourth quarter of 2025. The average land rig count in Canada for the first quarter of 2026 was 7% lower compared to the same period in 2025. For the remainder of the year, we currently expect U.S. and Canadian rig counts and completion activity to remain relatively consistent with 2025 levels. </w:t>
      </w:r>
    </w:p>
    <w:p>
      <w:pPr>
        <w:pStyle w:val="TextBody"/>
        <w:bidi w:val="0"/>
        <w:ind w:left="0" w:right="0" w:hanging="0"/>
        <w:jc w:val="left"/>
        <w:rPr/>
      </w:pPr>
      <w:r>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substantial portion of our business is subject to seasonality, which results in quarterly variability. In Canada, we typically experience higher activity levels in the first quarter of each year, as our customers take advantage of the winter freeze to gain access to remote drilling and production areas. In the past, our revenue in Canada has declined during the second quarter due to warming weather conditions that result in thawing, softer ground, difficulty accessing well sites and road bans that curtail drilling and completion activity. Access to well sites typically improves throughout the third and fourth quarters in Canada, leading to activity levels that are higher than in the second quarter, but usually lower than activity in the first quarter. Canadian completions activity can be impacted by wildfires that are usually experienced in the spring and summer seasons, as well as shortages of water available to oil and gas operators. Our business activity can also be affected by customer spending patterns. In some years, customers in both the United States and Canada may exhaust their capital budgets before year-end or reduce their activities during the winter holidays in late December, which can result in lower drilling and completion activity during the fourth quarter.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We Generate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derive our revenues from the sale of products and provision of services. Our products include fracturing systems and enhanced recovery systems, casing buoyancy systems, liner hanger systems and toe initiation sleeves, as well as composite and dissolvable frac plugs, setting tools, and perforating guns sold through Repeat Precision. Our services include fracturing systems field services and tracer diagnostics.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Product sales represented 71% and 70% of our revenues for the three months ended March 31, 2026 and 2025, respectively. Most of our sales are on a just-in-time basis, as specified in individual purchase orders, with a fixed price for our products. We occasionally supply our customers with large orders that may be fulfilled on negotiated terms. Services represented 29% and 30% of our revenues for the three months ended March 31, 2026 and 2025, respectively. Services include tool charges and associated personnel services related to fracturing systems and tracer diagnostics services. Our services are provided at agreed-upon rates to customers for the provision of our downhole frac isolation assembly, which may include our personnel, and for the provision of tracer diagnostics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During periods of low drilling and well completion activity, or as may be needed to compete in certain markets, we may, in some instances, lower the prices of our products and services. Our revenues are also impacted by well complexity since wells with more stages typically result in longer jobs, which may increase revenue due to the use of more sliding sleeves or more frac plugs and increase the volume of services we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percentages of our revenues derived from sales in Canada and denominated in Canadian dollars were approximately 51% and 75% for the three months ended March 31, 2026 and 2025, respectively. Our Canadian contracts are typically invoiced in Canadian dollars; therefore, the effects of foreign currency fluctuations impact our revenues and are regularly monitored. Strengthening of the U.S. dollar, our reporting currency, relative to the Canadian dollar would result in lower reported revenues, partially offset by lower reported cost of sales and selling, general and administrative (“SG&amp;A”)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Although most of our sales are to North American E&amp;P companies, we also have sales to customers outside of North America, and we expect sales to international customers to increase over time. These international sales are made through local NCS entities or to our local operating partners, primarily in the Middle East, usually on a free on board or free carrier basis with a point of sale in the United States. Our operating partners and representatives do not have authority to contractually bind NCS but market our products in their respective territories as part of their product or services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Costs of Conducting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cost of sales is comprised of expenses relating to the manufacture of our products in addition to the costs of our support services. Manufacturing cost of sales includes payments made to our suppliers for raw materials, such as steel, and payments made to machine shops for the manufacture of product components and finished assemblies and costs related to our employees that perform quality control analysis, assemble and test our products. We obtain certain chemicals utilized in our tracer diagnostics services business from suppliers in China, which are subject to tariffs that increase our costs. In addition, Repeat Precision operates a manufacturing facility with supporting personnel in Mexico, which has allowed us to reduce our costs for certain product categories. We also source certain product categories from other international suppliers. We review forecasted activity levels in our business and either directly procure or support our vendors in procuring the required raw materials with sufficient lead time to meet our business requirements. Prices for certain raw materials, including steel and chemicals, and for purchased components and outsourced services, have increased in recent years due to inflation and geopolitical factors. Cost of sales for support services includes compensation and benefit-related expenses for employees who provide direct revenue generating services to customers in addition to the costs incurred by these employees for travel and subsistence while on site. Cost of sales includes other variable manufacturing costs, such as shrinkage, obsolescence, revaluation and scrap related to our existing inventory and costs related to the chemicals used and laboratory analysis associated with our tracer diagnostics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SG&amp;A expenses include general operating costs and compensation expense, primarily the compensation and benefits for our employees who are not directly involved in revenue generating activities, including those involved in research and development activities. Our general operating costs include but are not limited to rent and occupancy for our facilities, information technology infrastructure services, software licensing, advertising and marketing, third party research and development, risk insurance and professional service fees for audit, legal and other consulting services. Our SG&amp;A expenses also include litigation expenses and expected credit losses.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percentage of our operating costs denominated in Canadian dollars (including cost of sales and SG&amp;A expenses but excluding depreciation and amortization expense) approximated 21% and 35%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Three Months Ended March 31, 2026</w:t>
      </w:r>
      <w:r>
        <w:rPr>
          <w:rFonts w:ascii="Times New Roman" w:hAnsi="Times New Roman"/>
          <w:caps w:val="false"/>
          <w:smallCaps w:val="false"/>
          <w:sz w:val="20"/>
        </w:rPr>
        <w:t xml:space="preserve"> </w:t>
      </w:r>
      <w:r>
        <w:rPr>
          <w:rFonts w:ascii="Times New Roman" w:hAnsi="Times New Roman"/>
          <w:b/>
          <w:i/>
          <w:caps w:val="false"/>
          <w:smallCaps w:val="false"/>
          <w:sz w:val="20"/>
        </w:rPr>
        <w:t>Compared to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tables summarize our results of operations, gross margins and revenues by geographic area for the periods presented (dollars in thousands):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2"/>
        <w:gridCol w:w="60"/>
        <w:gridCol w:w="140"/>
        <w:gridCol w:w="664"/>
        <w:gridCol w:w="90"/>
        <w:gridCol w:w="67"/>
        <w:gridCol w:w="140"/>
        <w:gridCol w:w="664"/>
        <w:gridCol w:w="80"/>
        <w:gridCol w:w="60"/>
        <w:gridCol w:w="125"/>
        <w:gridCol w:w="545"/>
        <w:gridCol w:w="80"/>
        <w:gridCol w:w="60"/>
        <w:gridCol w:w="60"/>
        <w:gridCol w:w="545"/>
        <w:gridCol w:w="243"/>
      </w:tblGrid>
      <w:tr>
        <w:trPr/>
        <w:tc>
          <w:tcPr>
            <w:tcW w:w="6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3" w:type="dxa"/>
            <w:tcBorders/>
            <w:shd w:fill="FFFF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(1)</w:t>
            </w:r>
          </w:p>
        </w:tc>
        <w:tc>
          <w:tcPr>
            <w:tcW w:w="243" w:type="dxa"/>
            <w:tcBorders/>
            <w:shd w:fill="FFFFFF" w:val="clear"/>
            <w:vAlign w:val="center"/>
          </w:tcPr>
          <w:p>
            <w:pPr>
              <w:pStyle w:val="TableContents"/>
              <w:bidi w:val="0"/>
              <w:spacing w:before="0" w:after="283"/>
              <w:jc w:val="left"/>
              <w:rPr/>
            </w:pPr>
            <w:r>
              <w:rPr/>
              <w:t> </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32,583</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13,054</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45,637</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19,729</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 shown below</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7,737</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 shown below</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loss, net</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243" w:type="dxa"/>
            <w:tcBorders/>
            <w:shd w:fill="FFFFFF" w:val="clear"/>
            <w:vAlign w:val="center"/>
          </w:tcPr>
          <w:p>
            <w:pPr>
              <w:pStyle w:val="TableContents"/>
              <w:bidi w:val="0"/>
              <w:spacing w:before="0" w:after="0"/>
              <w:jc w:val="left"/>
              <w:rPr/>
            </w:pPr>
            <w:r>
              <w:rPr/>
              <w:t> </w:t>
            </w:r>
          </w:p>
        </w:tc>
      </w:tr>
      <w:tr>
        <w:trPr/>
        <w:tc>
          <w:tcPr>
            <w:tcW w:w="658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90" w:type="dxa"/>
            <w:tcBorders/>
            <w:shd w:fill="CCEEFF" w:val="clear"/>
            <w:vAlign w:val="center"/>
          </w:tcPr>
          <w:p>
            <w:pPr>
              <w:pStyle w:val="TableContents"/>
              <w:bidi w:val="0"/>
              <w:spacing w:before="0" w:after="0"/>
              <w:ind w:left="0" w:right="0" w:hanging="0"/>
              <w:jc w:val="left"/>
              <w:rPr/>
            </w:pPr>
            <w:r>
              <w:rPr/>
              <w:t> </w:t>
            </w:r>
          </w:p>
        </w:tc>
        <w:tc>
          <w:tcPr>
            <w:tcW w:w="67"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2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430.7</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 attributable to NCS Multistage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3085" w:type="dxa"/>
        <w:jc w:val="left"/>
        <w:tblInd w:w="0" w:type="dxa"/>
        <w:tblLayout w:type="fixed"/>
        <w:tblCellMar>
          <w:top w:w="0" w:type="dxa"/>
          <w:left w:w="0" w:type="dxa"/>
          <w:bottom w:w="0" w:type="dxa"/>
          <w:right w:w="0" w:type="dxa"/>
        </w:tblCellMar>
      </w:tblPr>
      <w:tblGrid>
        <w:gridCol w:w="245"/>
        <w:gridCol w:w="284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28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NM — Percentage not meaningful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9637" w:type="dxa"/>
        <w:jc w:val="left"/>
        <w:tblInd w:w="0" w:type="dxa"/>
        <w:tblLayout w:type="fixed"/>
        <w:tblCellMar>
          <w:top w:w="0" w:type="dxa"/>
          <w:left w:w="0" w:type="dxa"/>
          <w:bottom w:w="0" w:type="dxa"/>
          <w:right w:w="0" w:type="dxa"/>
        </w:tblCellMar>
      </w:tblPr>
      <w:tblGrid>
        <w:gridCol w:w="5990"/>
        <w:gridCol w:w="60"/>
        <w:gridCol w:w="133"/>
        <w:gridCol w:w="630"/>
        <w:gridCol w:w="197"/>
        <w:gridCol w:w="64"/>
        <w:gridCol w:w="133"/>
        <w:gridCol w:w="630"/>
        <w:gridCol w:w="185"/>
        <w:gridCol w:w="60"/>
        <w:gridCol w:w="125"/>
        <w:gridCol w:w="545"/>
        <w:gridCol w:w="80"/>
        <w:gridCol w:w="60"/>
        <w:gridCol w:w="60"/>
        <w:gridCol w:w="440"/>
        <w:gridCol w:w="245"/>
      </w:tblGrid>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Margin and Gross Margin Percentage: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19,729</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20,352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attributable to cost of product sales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20,279</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12,304</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 gross margin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7,737</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attributable to cost of services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7,987</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5,067</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gross margin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28,266</w:t>
            </w:r>
          </w:p>
        </w:tc>
        <w:tc>
          <w:tcPr>
            <w:tcW w:w="197"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17,371</w:t>
            </w:r>
          </w:p>
        </w:tc>
        <w:tc>
          <w:tcPr>
            <w:tcW w:w="19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margin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318" w:type="dxa"/>
        <w:jc w:val="left"/>
        <w:tblInd w:w="0" w:type="dxa"/>
        <w:tblLayout w:type="fixed"/>
        <w:tblCellMar>
          <w:top w:w="0" w:type="dxa"/>
          <w:left w:w="0" w:type="dxa"/>
          <w:bottom w:w="0" w:type="dxa"/>
          <w:right w:w="0" w:type="dxa"/>
        </w:tblCellMar>
      </w:tblPr>
      <w:tblGrid>
        <w:gridCol w:w="2645"/>
        <w:gridCol w:w="60"/>
        <w:gridCol w:w="144"/>
        <w:gridCol w:w="681"/>
        <w:gridCol w:w="69"/>
        <w:gridCol w:w="69"/>
        <w:gridCol w:w="144"/>
        <w:gridCol w:w="681"/>
        <w:gridCol w:w="60"/>
        <w:gridCol w:w="60"/>
        <w:gridCol w:w="125"/>
        <w:gridCol w:w="650"/>
        <w:gridCol w:w="80"/>
        <w:gridCol w:w="60"/>
        <w:gridCol w:w="60"/>
        <w:gridCol w:w="485"/>
        <w:gridCol w:w="245"/>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Variance</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 by Geographic Area:</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United States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16,164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Canada</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Countries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24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countries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45,637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Revenues were $45.6 million for the three months ended March 31, 2026 compared to $50.0 million for the three months ended March 31, 2025. Product sales and services revenue declined year-over year. The decrease was primarily attributable to lower Canada-based revenues resulting from decreases in market activity as evidenced by lower rig counts and delays in planned customer activity, as well as decreased service revenue for international markets, particularly in the Middle East, due to timing of tracer diagnostics projects. Partially offsetting these declines were increases in U.S. revenues primarily driven by Repeat Precision product sales resulting from successful field trials and new product introductions, and increased service revenue associated with tracer diagnostics, including a contribution of $1.8 million in 2026 by ResMetrics, which we acquired in July 2025. International markets also experienced favorable year-over-year product sales, primarily well construction products in the Middle East. Overall, product sales for the three months ended March 31, 2026 totaled $32.6 million compared to $35.1 million for the three months ended March 31, 2025. Services revenue totaled $13.1 million compared to $14.9 million for the same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Cost of sales </w:t>
      </w:r>
    </w:p>
    <w:p>
      <w:pPr>
        <w:pStyle w:val="TextBody"/>
        <w:bidi w:val="0"/>
        <w:ind w:left="0" w:right="0" w:firstLine="360"/>
        <w:jc w:val="left"/>
        <w:rPr>
          <w:caps w:val="false"/>
          <w:smallCaps w:val="false"/>
        </w:rPr>
      </w:pPr>
      <w:r>
        <w:rPr>
          <w:caps w:val="false"/>
          <w:smallCaps w:val="false"/>
        </w:rPr>
        <w:t xml:space="preserve">  </w:t>
      </w:r>
    </w:p>
    <w:p>
      <w:pPr>
        <w:pStyle w:val="TextBody"/>
        <w:bidi w:val="0"/>
        <w:spacing w:before="0" w:after="0"/>
        <w:ind w:left="0" w:right="0" w:firstLine="360"/>
        <w:jc w:val="left"/>
        <w:rPr>
          <w:rFonts w:ascii="Times New Roman" w:hAnsi="Times New Roman"/>
          <w:sz w:val="20"/>
        </w:rPr>
      </w:pPr>
      <w:r>
        <w:rPr>
          <w:rFonts w:ascii="Times New Roman" w:hAnsi="Times New Roman"/>
          <w:sz w:val="20"/>
        </w:rPr>
        <w:t>Cost of sales was $28.3 million, or 61.9% of revenues, for the three months ended March 31, 2026, compared to $28.9 million, or 57.7% of revenues, for the three months ended March 31, 2025. The increase in cost of sales as a percentage of revenues year-over-year was primarily driven by the mix of products and services and the decline in total revenue, resulting in lower fixed cost absorption. The prior year period benefited from increased activity in Canada and higher-margin international tracer diagnostics activity in the Middle East, which did not recur at similar levels in 2026. The increase was partially offset by a favorable contribution from ResMetrics. For the three months ended March 31, 2026, cost of product sales was $20.3 million, or 62.2% of product sales revenue, and cost of services was $8.0 million, or 61.2% of services revenue. For the three months ended March 31, 2025, cost of product sales was $20.9 million, or 59.5% of product sales revenue, and cost of services was $8.0 million, or 53.6% of services revenue.</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 w:hAnsi="Times New Roman"/>
          <w:i/>
          <w:sz w:val="20"/>
        </w:rPr>
      </w:pPr>
      <w:r>
        <w:rPr>
          <w:rFonts w:ascii="Times New Roman" w:hAnsi="Times New Roman"/>
          <w:i/>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were $15.7 million for the three months ended March 31, 2026, compared to $16.2 million for the three months ended March 31, 2025. The decrease was primarily driven by annual incentive bonus accruals which were $0.7 million lower in 2026, as well as lower share-based compensation expense of $0.3 million, attributable to cash settled awards remeasured at fair value based on the price of our common stock. These decreases were partially offset by incremental expenses of $0.7 million associated with ResMetrics.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 xml:space="preserve">Other income,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Other income, net was $1.9 million for the three months ended March 31, 2026, compared to $0.9 million for the three months ended March 31, 2025. The year-over-year increase was primarily attributable to more royalty income from licensees and higher scrap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Income tax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was $0.8 million for the three months ended March 31, 2026 as compared to $0.7 million for the three months ended March 31, 2025. Our effective tax rate (“ETR”) from continuing operations was 32.4% and 13.1% for the three months ended March 31, 2026 and 2025, respectively. The income tax expense for these periods relates to results generated by our businesses in the United States, Canada, and certain other foreign jurisdictions. The income tax provision for the three months ended March 31, 2025 did not include the effects of losses within the United States, Canada, or other jurisdictions, as we determined at that time those losses would provide no future benefit. However, during the second and fourth quarters of 2025, respectively, we reversed substantially all of the valuation allowance previously recorded against the deferred tax assets of our Canadian and U.S. operating subsidiaries due to sustained improvements in operating results, including a return to profitability and forecasts of future taxable income sufficient to realize the remaining deferred tax assets. Management considered a variety of positive and negative evidence which provided a basis for the conclusion that it is more likely than not that the deferred tax assets will be realized in future periods.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primary sources of liquidity are our existing cash and cash equivalents, cash flows from operations, and potential borrowings under our secured asset-based revolving credit facility (the “ABL Facility”). As of March 31, 2026, we had cash and cash equivalents of $34.5 million, and total outstanding indebtedness of $7.2 million related to finance lease obligations. Our ABL Facility consists of an asset-based revolving credit facility in an aggregate principal amount of $35.0 million. Total borrowings available under the ABL Facility may be limited subject to a borrowing base calculated based on eligible accounts receivable and inventory, provided such eligible balances cannot include the assets of Repeat Precision. At March 31, 2026, our available borrowing base under the ABL Facility was $18.5 million, with no outstanding borrowings. As of March 31, 2026, we utilized letter of credit commitments of $0.2 million. The amount available to be drawn under the ABL Facility may decline from current levels due to reductions in our borrowing base or a springing financial covenant if our business were to be adversely impacted by a decline in market conditions. We were in compliance with our debt covenants at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Repeat Precision’s promissory note, which is a revolving credit facility with Security State Bank &amp; Trust, Fredericksburg (the “Repeat Precision Promissory Note”), has total aggregate borrowing capacity of $2.5 million, with a maturity date in May 2026 and has no borrowings outstanding as of March 31, 2026. We expect to renew the Repeat Precision Promissory Note prior to its maturity.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believe that our cash on hand, cash flows from operations and potential borrowings under our ABL Facility will be sufficient to fund our capital expenditure and liquidity requirements for at least the next twelve months. Our principal liquidity needs have been, and are expected to continue to be, capital expenditures, working capital, debt service and potential mergers and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capital expenditures for each of the three months ended March 31, 2026 and 2025 were $0.6 million and $0.5 million, respectively. We plan to incur approximately $2.2 million to $2.8 million in capital expenditures in total during 2026, which includes (i) upgrades to our Repeat Precision manufacturing facilities, (ii) additional research and development equipment for product development, (iii) upgrades to our tracer diagnostics deployment, sampling and laboratory equipment, and (iv) upgrades to our manufacturing and field service equipment to support North American fracturing systems and well construction businesses. Our expected 2026 capital expenditures increased compared to our initial expectations primarily due to additional investments to expand Repeat Precision's manufacturing capacity in Mexico to meet increased demand.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we decide to pursue one or more significant acquisitions, we may incur additional debt or sell equity to finance such acquisitions, which could result in incremental expenses or dilution. To the extent we require additional liquidity to fund an acquisition or our capital requirements, we would expect to obtain this funding through the incurrence of additional indebtedness, the proceeds of equity issuances, or a combination thereof. Our liquidity and ability to meet our obligations and fund capital requirements also depend on our future financial performance including the ability to manage costs, which is subject to general economic, financial and other factors that are beyond our control. Accordingly, we cannot provide assurance that our business will generate sufficient cash flow from operations or that funds will be available from additional indebtedness, the capital markets or otherwise to meet our liquidity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provides a summary of cash flows from operating, investing and financing activities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6913" w:type="dxa"/>
        <w:jc w:val="left"/>
        <w:tblInd w:w="0" w:type="dxa"/>
        <w:tblLayout w:type="fixed"/>
        <w:tblCellMar>
          <w:top w:w="0" w:type="dxa"/>
          <w:left w:w="0" w:type="dxa"/>
          <w:bottom w:w="0" w:type="dxa"/>
          <w:right w:w="0" w:type="dxa"/>
        </w:tblCellMar>
      </w:tblPr>
      <w:tblGrid>
        <w:gridCol w:w="4985"/>
        <w:gridCol w:w="60"/>
        <w:gridCol w:w="151"/>
        <w:gridCol w:w="659"/>
        <w:gridCol w:w="96"/>
        <w:gridCol w:w="72"/>
        <w:gridCol w:w="151"/>
        <w:gridCol w:w="659"/>
        <w:gridCol w:w="80"/>
      </w:tblGrid>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1,280</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(2,937</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9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change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 was $1.3 million and ($1.6) million for the three months ended March 31, 2026 and 2025, respectively. The increase in net cash provided by operating activities was primarily attributable to overall favorable changes in working capital, including favorable collections of trade receivables, in part resulting from a year-over-year decline in revenue. This increase was partially offset by lower net income of $2.7 million, an increase in inventory, as well as the timing of payments for materials and other components, accruals and payments associated with incentive bonuses, and payments related to cash settled share-based awards.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was $0.6 million and $0.5 million for the three months ended March 31, 2026 and 2025, respectively, primarily reflecting increased investment in property and equipment, net of proceeds received from the sale of retired property and equipment.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 was $2.9 million and $0.8 million for the three months ended March 31, 2026 and 2025. Our primary uses of funds for the three months ended March 31, 2026 and 2025 were principal payments related to our finance lease obligations totaling $0.6 million and $0.5 million, respectively, and payments of $1.1 million and $0.3 million, respectively, for treasury shares withheld to settle withholding tax requirements for equity-settled awards. In addition, during the three months ended March 31, 2026, we paid $1.3 million of contingent consideration associated with the ResMetrics acquisition. Net borrowings and repayments under the Repeat Promissory Note had no relative impact on cash flows from financing activities for each of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Material Cash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have been no significant changes in our material cash requirements from those disclosed in the Annual Report for the year ended December 31, 2025. See “Note 13. Income Taxes” of our unaudited condensed consolidated financial statements for further information regarding our Canada tax reassessments.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are no material changes to our critical accounting estimates from those included in the Annual Report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See “Note 1. Basis of Presentation” to our unaudited condensed consolidated financial statements for a discussion of the recent accounting pronouncements issued by the Financial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Smaller Reporting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a “smaller reporting company” as defined by Rule 12b-2 under the Exchange Act, because we are not an investment company, an asset-backed issuer, or a majority-owned subsidiary of a parent company that is not a smaller reporting company and have a public float of less than $250 million as of the last business day of our most recently completed second fiscal quarter. As a smaller reporting company, we may take advantage of specified reduced reporting and other requirements that are otherwise applicable generally to public companies, including among other things, being exempt from the auditor attestation requirements of Section 404(b) of the Sarbanes-Oxley Act, providing only two years of audited financial statements, and providing reduced disclosure obligations regarding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This Quarterly Report includes certain forward-looking statements within the meaning of the Private Securities Litigation Reform Act of 1995.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our actual results to differ materially from those in the forward-looking statements include regional, national or global political, economic, business, competitive, market and regulatory conditions and the following:</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0"/>
        <w:gridCol w:w="170"/>
        <w:gridCol w:w="8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declines in the level of oil and natural gas E&amp;P activity in Canada, the United States and internationally;</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
        <w:gridCol w:w="170"/>
        <w:gridCol w:w="3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oil and natural gas price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significant competition for our products and services that results in pricing pressures, reduced sales, or reduced market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inability to successfully implement our strategy of increasing sales of products and services into the U.S. and international markets;</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70"/>
        <w:gridCol w:w="2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significant customers;</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losses and liabilities from uninsured or underinsured business activities and litigation;</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283"/>
              <w:jc w:val="left"/>
              <w:rPr/>
            </w:pPr>
            <w:r>
              <w:rPr/>
              <w:t>additional income tax liabilities and reassessments;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left"/>
              <w:rPr/>
            </w:pPr>
            <w:r>
              <w:rPr/>
              <w:t>change in trade policy, including the impact of tariffs;</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283"/>
              <w:jc w:val="left"/>
              <w:rPr/>
            </w:pPr>
            <w:r>
              <w:rPr/>
              <w:t>our failure to identify and consummate potential acquisitions;</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60"/>
        <w:gridCol w:w="170"/>
        <w:gridCol w:w="9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left"/>
              <w:rPr/>
            </w:pPr>
            <w:r>
              <w:rPr/>
              <w:t>the financial health of our customers including their ability to pay for products or services provided;</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283"/>
              <w:jc w:val="left"/>
              <w:rPr/>
            </w:pPr>
            <w:r>
              <w:rPr/>
              <w:t>our inability to integrate or realize the expected benefits from acquisitions;</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left"/>
              <w:rPr/>
            </w:pPr>
            <w:r>
              <w:rPr/>
              <w:t>our inability to achieve suitable price increases to offset the impacts of cost inflation;</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0"/>
        <w:gridCol w:w="170"/>
        <w:gridCol w:w="9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left"/>
              <w:rPr/>
            </w:pPr>
            <w:r>
              <w:rPr/>
              <w:t>loss of any of our key suppliers or significant disruptions negatively impacting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60"/>
        <w:gridCol w:w="170"/>
        <w:gridCol w:w="6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pPr>
            <w:r>
              <w:rPr/>
              <w:t>risks in attracting and retaining qualified employees and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283"/>
              <w:jc w:val="left"/>
              <w:rPr/>
            </w:pPr>
            <w:r>
              <w:rPr/>
              <w:t>risks resulting from the operations of our joint venture arrangement;</w:t>
            </w:r>
          </w:p>
        </w:tc>
      </w:tr>
    </w:tbl>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283"/>
              <w:jc w:val="left"/>
              <w:rPr/>
            </w:pPr>
            <w:r>
              <w:rPr/>
              <w:t>currency exchange rate fluctuations;</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283"/>
              <w:jc w:val="left"/>
              <w:rPr/>
            </w:pPr>
            <w:r>
              <w:rPr/>
              <w:t>impact of severe weather conditions;</w:t>
            </w:r>
          </w:p>
        </w:tc>
      </w:tr>
    </w:tbl>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0"/>
        <w:gridCol w:w="170"/>
        <w:gridCol w:w="9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20" w:type="dxa"/>
            <w:tcBorders/>
            <w:vAlign w:val="center"/>
          </w:tcPr>
          <w:p>
            <w:pPr>
              <w:pStyle w:val="TableContents"/>
              <w:bidi w:val="0"/>
              <w:spacing w:before="0" w:after="283"/>
              <w:jc w:val="left"/>
              <w:rPr/>
            </w:pPr>
            <w:r>
              <w:rPr/>
              <w:t>our inability to accurately predict customer demand, which may result in excess or obsolete inventory;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failure to comply with or changes to federal, state and local and non-U.S. laws and other regulations, including tax policies, anti-corruption and environmental regulations, guidelines and regulations for the use of explosives;</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left"/>
              <w:rPr/>
            </w:pPr>
            <w:r>
              <w:rPr/>
              <w:t>impairment in the carrying value of long-lived assets including goodwill;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system interruptions or failures, including complications with our enterprise resource planning system, cybersecurity breaches, identity theft or other disruptions that could compromise our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inability to successfully develop and implement new technologies, products and services that align with the needs of our customers, including addressing the shift to more non-traditional energy markets as part of the energy transition and the adoption of artificial intelligence and machine learning;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inability to protect and maintain critical intellectual property assets, the inability to protect our current royalty income, or the losses and liabilities from adverse decisions in intellectual property disputes;</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60"/>
        <w:gridCol w:w="170"/>
        <w:gridCol w:w="6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left"/>
              <w:rPr/>
            </w:pPr>
            <w:r>
              <w:rPr/>
              <w:t>loss of, or interruption to, our information and computer systems;</w:t>
            </w:r>
          </w:p>
        </w:tc>
      </w:tr>
    </w:tbl>
    <w:p>
      <w:pPr>
        <w:pStyle w:val="TextBody"/>
        <w:bidi w:val="0"/>
        <w:spacing w:before="0" w:after="0"/>
        <w:ind w:left="0" w:right="0" w:hanging="0"/>
        <w:jc w:val="left"/>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left"/>
              <w:rPr/>
            </w:pPr>
            <w:r>
              <w:rPr/>
              <w:t>our failure to establish and maintain effective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restrictions on the availability of our customers to obtain water essential to the drilling and hydraulic fracturing processes;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changes in legislation or regulation governing the oil and natural gas industry, including restrictions on emissions of greenhouse gases;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inability to meet regulatory requirements for use of certain chemicals by our tracer diagnostics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the reduction in our ABL Facility borrowing base or our inability to comply with the covenants in our debt agreements; and</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35" w:type="dxa"/>
            <w:tcBorders/>
            <w:vAlign w:val="center"/>
          </w:tcPr>
          <w:p>
            <w:pPr>
              <w:pStyle w:val="TableContents"/>
              <w:bidi w:val="0"/>
              <w:spacing w:before="0" w:after="283"/>
              <w:jc w:val="left"/>
              <w:rPr/>
            </w:pPr>
            <w:r>
              <w:rPr/>
              <w:t>our inability to obtain sufficient liquidity on reasonable terms, or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the reasons described above, as well as factors identified in “Item 1A. Risk Factors” in this Quarterly Report and the section of the Annual Report entitled “Risk Factors,” we caution you against relying on any forward-looking statements. Any forward-looking statement made by us in this Quarterly Report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quant"/>
      <w:bookmarkEnd w:id="12"/>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For our quantitative and qualitative disclosures about market risk, see Item 7A, “Quantitative and Qualitative Disclosures About Market Risk,” in our Annual Report for the year ended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controls"/>
      <w:bookmarkEnd w:id="13"/>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management, including our Chief Executive Officer and Chief Financial Officer, conducted an evaluation of the effectiveness of our disclosure controls and procedures (as defined in Rules 13a-15(e) and 15d-15(e) under the Exchange Act) as of March 31, 2026. Based on this evaluation, our Chief Executive Officer and Chief Financial Officer, concluded that, as of March 31, 2026, our disclosure controls and procedures were effective to provide reasonable assurance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were no changes to our internal control over financial reporting that occurred during the quarter ended March 31,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14" w:name="parttwo"/>
      <w:bookmarkEnd w:id="14"/>
      <w:r>
        <w:rPr>
          <w:rFonts w:ascii="Times New Roman;Times;serif" w:hAnsi="Times New Roman;Times;serif"/>
          <w:b/>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See “Note 11. Commitments and Contingencies” of our unaudited condensed consolidated financial statements for further information regarding our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risk"/>
      <w:bookmarkEnd w:id="16"/>
      <w:r>
        <w:rPr>
          <w:rFonts w:ascii="Times New Roman" w:hAnsi="Times New Roman"/>
          <w:b/>
          <w:caps w:val="false"/>
          <w:smallCaps w:val="false"/>
          <w:sz w:val="20"/>
        </w:rPr>
        <w:t>Item 1A.</w:t>
      </w:r>
      <w:r>
        <w:rPr>
          <w:rFonts w:ascii="Times New Roman" w:hAnsi="Times New Roman"/>
          <w:caps w:val="false"/>
          <w:smallCaps w:val="false"/>
          <w:sz w:val="20"/>
        </w:rPr>
        <w:t>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from the risk factors disclosed in our Annual Report for the year ended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7" w:name="otherinfo"/>
      <w:bookmarkEnd w:id="17"/>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Times;serif" w:hAnsi="Times New Roman;Times;serif"/>
          <w:caps w:val="false"/>
          <w:smallCaps w:val="false"/>
          <w:sz w:val="20"/>
        </w:rPr>
        <w:t xml:space="preserve">During the quarter ended </w:t>
      </w:r>
      <w:r>
        <w:rPr>
          <w:rStyle w:val="Emphasis"/>
          <w:rFonts w:ascii="Times New Roman;Times;serif" w:hAnsi="Times New Roman;Times;serif"/>
          <w:caps w:val="false"/>
          <w:smallCaps w:val="false"/>
          <w:sz w:val="20"/>
        </w:rPr>
        <w:t>March 31, 2026</w:t>
      </w:r>
      <w:r>
        <w:rPr>
          <w:rFonts w:ascii="Times New Roman;Times;serif" w:hAnsi="Times New Roman;Times;serif"/>
          <w:caps w:val="false"/>
          <w:smallCaps w:val="false"/>
          <w:sz w:val="20"/>
        </w:rPr>
        <w:t xml:space="preserve">, no director or officer of the Company adopted or terminated a “Rule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trading arrangement” or “non-Rule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trading arrangement,” as each term is defined in Item </w:t>
      </w:r>
      <w:r>
        <w:rPr>
          <w:rStyle w:val="Emphasis"/>
          <w:rFonts w:ascii="Times New Roman;Times;serif" w:hAnsi="Times New Roman;Times;serif"/>
          <w:caps w:val="false"/>
          <w:smallCaps w:val="false"/>
          <w:sz w:val="20"/>
        </w:rPr>
        <w:t>408</w:t>
      </w:r>
      <w:r>
        <w:rPr>
          <w:rFonts w:ascii="Times New Roman;Times;serif" w:hAnsi="Times New Roman;Times;serif"/>
          <w:caps w:val="false"/>
          <w:smallCaps w:val="false"/>
          <w:sz w:val="20"/>
        </w:rPr>
        <w:t> of Regulation S-K.</w:t>
      </w:r>
    </w:p>
    <w:p>
      <w:pPr>
        <w:pStyle w:val="TextBody"/>
        <w:bidi w:val="0"/>
        <w:spacing w:before="0" w:after="283"/>
        <w:jc w:val="left"/>
        <w:rPr/>
      </w:pPr>
      <w:r>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8" w:name="exhibits"/>
      <w:bookmarkEnd w:id="18"/>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9255" w:type="dxa"/>
        <w:jc w:val="left"/>
        <w:tblInd w:w="0" w:type="dxa"/>
        <w:tblLayout w:type="fixed"/>
        <w:tblCellMar>
          <w:top w:w="0" w:type="dxa"/>
          <w:left w:w="0" w:type="dxa"/>
          <w:bottom w:w="0" w:type="dxa"/>
          <w:right w:w="0" w:type="dxa"/>
        </w:tblCellMar>
      </w:tblPr>
      <w:tblGrid>
        <w:gridCol w:w="335"/>
        <w:gridCol w:w="770"/>
        <w:gridCol w:w="60"/>
        <w:gridCol w:w="8090"/>
      </w:tblGrid>
      <w:tr>
        <w:trPr/>
        <w:tc>
          <w:tcPr>
            <w:tcW w:w="110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283"/>
              <w:jc w:val="left"/>
              <w:rPr/>
            </w:pPr>
            <w:r>
              <w:rPr/>
              <w:t> </w:t>
            </w:r>
          </w:p>
        </w:tc>
      </w:tr>
      <w:tr>
        <w:trPr/>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80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shd w:fill="CCEEFF" w:val="clear"/>
            <w:vAlign w:val="center"/>
          </w:tcPr>
          <w:p>
            <w:pPr>
              <w:pStyle w:val="TableContents"/>
              <w:bidi w:val="0"/>
              <w:spacing w:before="0" w:after="283"/>
              <w:jc w:val="left"/>
              <w:rPr/>
            </w:pPr>
            <w:r>
              <w:rPr/>
              <w:t> </w:t>
            </w:r>
          </w:p>
        </w:tc>
        <w:tc>
          <w:tcPr>
            <w:tcW w:w="8090" w:type="dxa"/>
            <w:tcBorders/>
            <w:shd w:fill="CCEEFF" w:val="clear"/>
            <w:vAlign w:val="center"/>
          </w:tcPr>
          <w:p>
            <w:pPr>
              <w:pStyle w:val="TableContents"/>
              <w:bidi w:val="0"/>
              <w:spacing w:before="0" w:after="0"/>
              <w:ind w:left="0" w:right="0" w:hanging="0"/>
              <w:jc w:val="left"/>
              <w:rPr/>
            </w:pPr>
            <w:hyperlink w:anchor="ex_930611.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shd w:fill="FFFFFF" w:val="clear"/>
            <w:vAlign w:val="center"/>
          </w:tcPr>
          <w:p>
            <w:pPr>
              <w:pStyle w:val="TableContents"/>
              <w:bidi w:val="0"/>
              <w:spacing w:before="0" w:after="283"/>
              <w:jc w:val="left"/>
              <w:rPr/>
            </w:pPr>
            <w:r>
              <w:rPr/>
              <w:t> </w:t>
            </w:r>
          </w:p>
        </w:tc>
        <w:tc>
          <w:tcPr>
            <w:tcW w:w="8090" w:type="dxa"/>
            <w:tcBorders/>
            <w:shd w:fill="FFFFFF" w:val="clear"/>
            <w:vAlign w:val="center"/>
          </w:tcPr>
          <w:p>
            <w:pPr>
              <w:pStyle w:val="TableContents"/>
              <w:bidi w:val="0"/>
              <w:spacing w:before="0" w:after="0"/>
              <w:ind w:left="0" w:right="0" w:hanging="0"/>
              <w:jc w:val="left"/>
              <w:rPr/>
            </w:pPr>
            <w:hyperlink w:anchor="ex_930612.htm">
              <w:r>
                <w:rPr>
                  <w:rStyle w:val="InternetLink"/>
                  <w:rFonts w:ascii="Times New Roman" w:hAnsi="Times New Roman"/>
                  <w:caps w:val="false"/>
                  <w:smallCaps w:val="false"/>
                  <w:sz w:val="20"/>
                </w:rPr>
                <w:t>Certification of Chief Financial Officer Pursuant to Section 302 of the Sarbanes-Oxley Act of 2002.</w:t>
              </w:r>
            </w:hyperlink>
          </w:p>
        </w:tc>
      </w:tr>
      <w:tr>
        <w:trPr/>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shd w:fill="CCEEFF" w:val="clear"/>
            <w:vAlign w:val="center"/>
          </w:tcPr>
          <w:p>
            <w:pPr>
              <w:pStyle w:val="TableContents"/>
              <w:bidi w:val="0"/>
              <w:spacing w:before="0" w:after="283"/>
              <w:jc w:val="left"/>
              <w:rPr/>
            </w:pPr>
            <w:r>
              <w:rPr/>
              <w:t> </w:t>
            </w:r>
          </w:p>
        </w:tc>
        <w:tc>
          <w:tcPr>
            <w:tcW w:w="8090" w:type="dxa"/>
            <w:tcBorders/>
            <w:shd w:fill="CCEEFF" w:val="clear"/>
            <w:vAlign w:val="center"/>
          </w:tcPr>
          <w:p>
            <w:pPr>
              <w:pStyle w:val="TableContents"/>
              <w:bidi w:val="0"/>
              <w:spacing w:before="0" w:after="0"/>
              <w:ind w:left="0" w:right="0" w:hanging="0"/>
              <w:jc w:val="left"/>
              <w:rPr/>
            </w:pPr>
            <w:hyperlink w:anchor="ex_930613.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shd w:fill="FFFFFF" w:val="clear"/>
            <w:vAlign w:val="center"/>
          </w:tcPr>
          <w:p>
            <w:pPr>
              <w:pStyle w:val="TableContents"/>
              <w:bidi w:val="0"/>
              <w:spacing w:before="0" w:after="283"/>
              <w:jc w:val="left"/>
              <w:rPr/>
            </w:pPr>
            <w:r>
              <w:rPr/>
              <w:t> </w:t>
            </w:r>
          </w:p>
        </w:tc>
        <w:tc>
          <w:tcPr>
            <w:tcW w:w="8090" w:type="dxa"/>
            <w:tcBorders/>
            <w:shd w:fill="FFFFFF" w:val="clear"/>
            <w:vAlign w:val="center"/>
          </w:tcPr>
          <w:p>
            <w:pPr>
              <w:pStyle w:val="TableContents"/>
              <w:bidi w:val="0"/>
              <w:spacing w:before="0" w:after="0"/>
              <w:ind w:left="0" w:right="0" w:hanging="0"/>
              <w:jc w:val="left"/>
              <w:rPr/>
            </w:pPr>
            <w:hyperlink w:anchor="ex_930614.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shd w:fill="CCEEFF" w:val="clear"/>
            <w:vAlign w:val="center"/>
          </w:tcPr>
          <w:p>
            <w:pPr>
              <w:pStyle w:val="TableContents"/>
              <w:bidi w:val="0"/>
              <w:spacing w:before="0" w:after="283"/>
              <w:jc w:val="left"/>
              <w:rPr/>
            </w:pPr>
            <w:r>
              <w:rPr/>
              <w:t> </w:t>
            </w:r>
          </w:p>
        </w:tc>
        <w:tc>
          <w:tcPr>
            <w:tcW w:w="80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shd w:fill="FFFFFF" w:val="clear"/>
            <w:vAlign w:val="center"/>
          </w:tcPr>
          <w:p>
            <w:pPr>
              <w:pStyle w:val="TableContents"/>
              <w:bidi w:val="0"/>
              <w:spacing w:before="0" w:after="283"/>
              <w:jc w:val="left"/>
              <w:rPr/>
            </w:pPr>
            <w:r>
              <w:rPr/>
              <w:t> </w:t>
            </w:r>
          </w:p>
        </w:tc>
        <w:tc>
          <w:tcPr>
            <w:tcW w:w="809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shd w:fill="CCEEFF" w:val="clear"/>
            <w:vAlign w:val="center"/>
          </w:tcPr>
          <w:p>
            <w:pPr>
              <w:pStyle w:val="TableContents"/>
              <w:bidi w:val="0"/>
              <w:spacing w:before="0" w:after="283"/>
              <w:jc w:val="left"/>
              <w:rPr/>
            </w:pPr>
            <w:r>
              <w:rPr/>
              <w:t> </w:t>
            </w:r>
          </w:p>
        </w:tc>
        <w:tc>
          <w:tcPr>
            <w:tcW w:w="80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shd w:fill="FFFFFF" w:val="clear"/>
            <w:vAlign w:val="center"/>
          </w:tcPr>
          <w:p>
            <w:pPr>
              <w:pStyle w:val="TableContents"/>
              <w:bidi w:val="0"/>
              <w:spacing w:before="0" w:after="283"/>
              <w:jc w:val="left"/>
              <w:rPr/>
            </w:pPr>
            <w:r>
              <w:rPr/>
              <w:t> </w:t>
            </w:r>
          </w:p>
        </w:tc>
        <w:tc>
          <w:tcPr>
            <w:tcW w:w="80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shd w:fill="CCEEFF" w:val="clear"/>
            <w:vAlign w:val="center"/>
          </w:tcPr>
          <w:p>
            <w:pPr>
              <w:pStyle w:val="TableContents"/>
              <w:bidi w:val="0"/>
              <w:spacing w:before="0" w:after="283"/>
              <w:jc w:val="left"/>
              <w:rPr/>
            </w:pPr>
            <w:r>
              <w:rPr/>
              <w:t> </w:t>
            </w:r>
          </w:p>
        </w:tc>
        <w:tc>
          <w:tcPr>
            <w:tcW w:w="80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shd w:fill="FFFFFF" w:val="clear"/>
            <w:vAlign w:val="center"/>
          </w:tcPr>
          <w:p>
            <w:pPr>
              <w:pStyle w:val="TableContents"/>
              <w:bidi w:val="0"/>
              <w:spacing w:before="0" w:after="283"/>
              <w:jc w:val="left"/>
              <w:rPr/>
            </w:pPr>
            <w:r>
              <w:rPr/>
              <w:t> </w:t>
            </w:r>
          </w:p>
        </w:tc>
        <w:tc>
          <w:tcPr>
            <w:tcW w:w="80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77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CCEEFF" w:val="clear"/>
            <w:vAlign w:val="center"/>
          </w:tcPr>
          <w:p>
            <w:pPr>
              <w:pStyle w:val="TableContents"/>
              <w:bidi w:val="0"/>
              <w:spacing w:before="0" w:after="283"/>
              <w:jc w:val="left"/>
              <w:rPr/>
            </w:pPr>
            <w:r>
              <w:rPr/>
              <w:t> </w:t>
            </w:r>
          </w:p>
        </w:tc>
        <w:tc>
          <w:tcPr>
            <w:tcW w:w="80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iXBRL and contained in Exhibit 101)</w:t>
            </w:r>
          </w:p>
        </w:tc>
      </w:tr>
      <w:tr>
        <w:trPr/>
        <w:tc>
          <w:tcPr>
            <w:tcW w:w="335"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90" w:type="dxa"/>
            <w:tcBorders/>
            <w:shd w:fill="FFFFFF" w:val="clear"/>
            <w:vAlign w:val="center"/>
          </w:tcPr>
          <w:p>
            <w:pPr>
              <w:pStyle w:val="TableContents"/>
              <w:bidi w:val="0"/>
              <w:spacing w:before="0" w:after="283"/>
              <w:jc w:val="left"/>
              <w:rPr/>
            </w:pPr>
            <w:r>
              <w:rPr/>
              <w:t> </w:t>
            </w:r>
          </w:p>
        </w:tc>
      </w:tr>
      <w:tr>
        <w:trPr/>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920" w:type="dxa"/>
            <w:gridSpan w:val="3"/>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33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920" w:type="dxa"/>
            <w:gridSpan w:val="3"/>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r>
        <w:trPr/>
        <w:tc>
          <w:tcPr>
            <w:tcW w:w="33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8920" w:type="dxa"/>
            <w:gridSpan w:val="3"/>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Submitted electronically with this Report.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9" w:name="sigs"/>
      <w:bookmarkEnd w:id="1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1685"/>
        <w:gridCol w:w="410"/>
        <w:gridCol w:w="4430"/>
      </w:tblGrid>
      <w:tr>
        <w:trPr/>
        <w:tc>
          <w:tcPr>
            <w:tcW w:w="1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April 30, 2026</w:t>
            </w:r>
          </w:p>
        </w:tc>
        <w:tc>
          <w:tcPr>
            <w:tcW w:w="484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NCS Multistage Holdings, Inc.</w:t>
            </w:r>
          </w:p>
        </w:tc>
      </w:tr>
      <w:tr>
        <w:trPr/>
        <w:tc>
          <w:tcPr>
            <w:tcW w:w="168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44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Mike Morrison</w:t>
            </w:r>
          </w:p>
        </w:tc>
      </w:tr>
      <w:tr>
        <w:trPr/>
        <w:tc>
          <w:tcPr>
            <w:tcW w:w="168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Morrison</w:t>
            </w:r>
          </w:p>
        </w:tc>
      </w:tr>
      <w:tr>
        <w:trPr/>
        <w:tc>
          <w:tcPr>
            <w:tcW w:w="168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r>
        <w:trPr/>
        <w:tc>
          <w:tcPr>
            <w:tcW w:w="168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 and Authorized Signatory)</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37 </w:t>
      </w:r>
    </w:p>
    <w:p>
      <w:pPr>
        <w:pStyle w:val="TextBody"/>
        <w:bidi w:val="0"/>
        <w:spacing w:before="0" w:after="0"/>
        <w:ind w:left="0" w:right="0" w:hanging="0"/>
        <w:jc w:val="right"/>
        <w:rPr>
          <w:rFonts w:ascii="Times New Roman" w:hAnsi="Times New Roman"/>
          <w:b/>
          <w:caps w:val="false"/>
          <w:smallCaps w:val="false"/>
          <w:sz w:val="20"/>
        </w:rPr>
      </w:pPr>
      <w:bookmarkStart w:id="20" w:name="ex_930611.htm"/>
      <w:bookmarkStart w:id="21" w:name="ksex_930611"/>
      <w:bookmarkEnd w:id="20"/>
      <w:bookmarkEnd w:id="21"/>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CHIEF EXECUTIVE OFFICER </w:t>
      </w:r>
      <w:r>
        <w:rPr>
          <w:rFonts w:ascii="Times New Roman" w:hAnsi="Times New Roman"/>
          <w:caps w:val="false"/>
          <w:smallCaps w:val="false"/>
          <w:sz w:val="20"/>
        </w:rPr>
        <w:br/>
      </w:r>
      <w:r>
        <w:rPr>
          <w:rFonts w:ascii="Times New Roman" w:hAnsi="Times New Roman"/>
          <w:b/>
          <w:caps w:val="false"/>
          <w:smallCaps w:val="false"/>
          <w:sz w:val="20"/>
        </w:rPr>
        <w:t>PURSUANT TO RULE 13A-14(A) AND RULE</w:t>
      </w:r>
      <w:r>
        <w:rPr>
          <w:rFonts w:ascii="Times New Roman" w:hAnsi="Times New Roman"/>
          <w:caps w:val="false"/>
          <w:smallCaps w:val="false"/>
          <w:sz w:val="20"/>
        </w:rPr>
        <w:t> </w:t>
      </w:r>
      <w:r>
        <w:rPr>
          <w:rFonts w:ascii="Times New Roman" w:hAnsi="Times New Roman"/>
          <w:b/>
          <w:caps w:val="false"/>
          <w:smallCaps w:val="false"/>
          <w:sz w:val="20"/>
        </w:rPr>
        <w:t xml:space="preserve">15D-14(A) </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Ryan Hummer, certify that:</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170"/>
        <w:gridCol w:w="9605"/>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(this “report”) of NCS Multistage Holdings,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2" w:name="led525677F2024191707445346982"/>
      <w:bookmarkEnd w:id="22"/>
      <w:r>
        <w:rPr>
          <w:rFonts w:ascii="Times New Roman" w:hAnsi="Times New Roman"/>
          <w:caps w:val="false"/>
          <w:smallCaps w:val="false"/>
          <w:sz w:val="20"/>
        </w:rPr>
        <w:t>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28" w:type="dxa"/>
          <w:right w:w="0" w:type="dxa"/>
        </w:tblCellMar>
      </w:tblPr>
      <w:tblGrid>
        <w:gridCol w:w="1940"/>
        <w:gridCol w:w="60"/>
      </w:tblGrid>
      <w:tr>
        <w:trPr/>
        <w:tc>
          <w:tcPr>
            <w:tcW w:w="194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Ryan Hummer</w:t>
            </w:r>
          </w:p>
        </w:tc>
        <w:tc>
          <w:tcPr>
            <w:tcW w:w="60"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Ryan Hummer</w:t>
            </w:r>
          </w:p>
        </w:tc>
        <w:tc>
          <w:tcPr>
            <w:tcW w:w="60"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3" w:name="ex_930612.htm"/>
      <w:bookmarkStart w:id="24" w:name="ksex_930612"/>
      <w:bookmarkEnd w:id="23"/>
      <w:bookmarkEnd w:id="24"/>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CHIEF FINANCIAL OFFICER </w:t>
      </w:r>
      <w:r>
        <w:rPr>
          <w:rFonts w:ascii="Times New Roman" w:hAnsi="Times New Roman"/>
          <w:caps w:val="false"/>
          <w:smallCaps w:val="false"/>
          <w:sz w:val="20"/>
        </w:rPr>
        <w:br/>
      </w:r>
      <w:r>
        <w:rPr>
          <w:rFonts w:ascii="Times New Roman" w:hAnsi="Times New Roman"/>
          <w:b/>
          <w:caps w:val="false"/>
          <w:smallCaps w:val="false"/>
          <w:sz w:val="20"/>
        </w:rPr>
        <w:t>PURSUANT TO RULE 13A-14(A) AND RULE</w:t>
      </w:r>
      <w:r>
        <w:rPr>
          <w:rFonts w:ascii="Times New Roman" w:hAnsi="Times New Roman"/>
          <w:caps w:val="false"/>
          <w:smallCaps w:val="false"/>
          <w:sz w:val="20"/>
        </w:rPr>
        <w:t> </w:t>
      </w:r>
      <w:r>
        <w:rPr>
          <w:rFonts w:ascii="Times New Roman" w:hAnsi="Times New Roman"/>
          <w:b/>
          <w:caps w:val="false"/>
          <w:smallCaps w:val="false"/>
          <w:sz w:val="20"/>
        </w:rPr>
        <w:t xml:space="preserve">15D-14(A) </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Mike Morrison, certify that:</w:t>
      </w:r>
    </w:p>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170"/>
        <w:gridCol w:w="9605"/>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(this “report”) of NCS Multistage Holdings, Inc.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525677F2024191707445376332"/>
      <w:bookmarkEnd w:id="25"/>
      <w:r>
        <w:rPr>
          <w:rFonts w:ascii="Times New Roman" w:hAnsi="Times New Roman"/>
          <w:caps w:val="false"/>
          <w:smallCaps w:val="false"/>
          <w:sz w:val="20"/>
        </w:rPr>
        <w:t>April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28" w:type="dxa"/>
          <w:right w:w="0" w:type="dxa"/>
        </w:tblCellMar>
      </w:tblPr>
      <w:tblGrid>
        <w:gridCol w:w="3020"/>
        <w:gridCol w:w="60"/>
      </w:tblGrid>
      <w:tr>
        <w:trPr/>
        <w:tc>
          <w:tcPr>
            <w:tcW w:w="302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Mike Morrison</w:t>
            </w:r>
          </w:p>
        </w:tc>
        <w:tc>
          <w:tcPr>
            <w:tcW w:w="60" w:type="dxa"/>
            <w:tcBorders/>
            <w:tcMar>
              <w:bottom w:w="0" w:type="dxa"/>
            </w:tcMar>
            <w:vAlign w:val="center"/>
          </w:tcPr>
          <w:p>
            <w:pPr>
              <w:pStyle w:val="TableContents"/>
              <w:bidi w:val="0"/>
              <w:spacing w:before="0" w:after="283"/>
              <w:jc w:val="left"/>
              <w:rPr/>
            </w:pPr>
            <w:r>
              <w:rPr/>
              <w:t> </w:t>
            </w:r>
          </w:p>
        </w:tc>
      </w:tr>
      <w:tr>
        <w:trPr/>
        <w:tc>
          <w:tcPr>
            <w:tcW w:w="302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Mike Morrison</w:t>
            </w:r>
          </w:p>
        </w:tc>
        <w:tc>
          <w:tcPr>
            <w:tcW w:w="60" w:type="dxa"/>
            <w:tcBorders/>
            <w:tcMar>
              <w:bottom w:w="0" w:type="dxa"/>
            </w:tcMar>
            <w:vAlign w:val="center"/>
          </w:tcPr>
          <w:p>
            <w:pPr>
              <w:pStyle w:val="TableContents"/>
              <w:bidi w:val="0"/>
              <w:spacing w:before="0" w:after="283"/>
              <w:jc w:val="left"/>
              <w:rPr/>
            </w:pPr>
            <w:r>
              <w:rPr/>
              <w:t> </w:t>
            </w:r>
          </w:p>
        </w:tc>
      </w:tr>
      <w:tr>
        <w:trPr/>
        <w:tc>
          <w:tcPr>
            <w:tcW w:w="302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930613.htm"/>
      <w:bookmarkStart w:id="27" w:name="ksex_930613"/>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w:t>
      </w:r>
      <w:r>
        <w:rPr>
          <w:rFonts w:ascii="Times New Roman" w:hAnsi="Times New Roman"/>
          <w:caps w:val="false"/>
          <w:smallCaps w:val="false"/>
          <w:sz w:val="20"/>
        </w:rPr>
        <w:br/>
      </w:r>
      <w:r>
        <w:rPr>
          <w:rFonts w:ascii="Times New Roman" w:hAnsi="Times New Roman"/>
          <w:b/>
          <w:caps w:val="false"/>
          <w:smallCaps w:val="false"/>
          <w:sz w:val="20"/>
        </w:rPr>
        <w:t>CHIEF EXECUTIVE OFFICER UNDER 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w:t>
      </w:r>
      <w:r>
        <w:rPr>
          <w:rFonts w:ascii="Times New Roman" w:hAnsi="Times New Roman"/>
          <w:caps w:val="false"/>
          <w:smallCaps w:val="false"/>
          <w:sz w:val="20"/>
        </w:rPr>
        <w:br/>
      </w:r>
      <w:r>
        <w:rPr>
          <w:rFonts w:ascii="Times New Roman" w:hAnsi="Times New Roman"/>
          <w:b/>
          <w:caps w:val="false"/>
          <w:smallCaps w:val="false"/>
          <w:sz w:val="20"/>
        </w:rPr>
        <w:t xml:space="preserve">SARBANES OXLEY ACT OF 2002, 18 U.S.C. </w:t>
      </w:r>
      <w:r>
        <w:rPr>
          <w:rFonts w:ascii="Times New Roman" w:hAnsi="Times New Roman"/>
          <w:caps w:val="false"/>
          <w:smallCaps w:val="false"/>
          <w:sz w:val="20"/>
        </w:rPr>
        <w:t xml:space="preserve">§ </w:t>
      </w:r>
      <w:r>
        <w:rPr>
          <w:rFonts w:ascii="Times New Roman" w:hAnsi="Times New Roman"/>
          <w:b/>
          <w:caps w:val="false"/>
          <w:smallCaps w:val="false"/>
          <w:sz w:val="20"/>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NCS Multistage Holdings, Inc. (the “Company”) on Form 10-Q for the period ended </w:t>
      </w:r>
      <w:bookmarkStart w:id="28" w:name="led525677F2024191707445398867"/>
      <w:bookmarkEnd w:id="28"/>
      <w:r>
        <w:rPr>
          <w:rFonts w:ascii="Times New Roman" w:hAnsi="Times New Roman"/>
          <w:caps w:val="false"/>
          <w:smallCaps w:val="false"/>
          <w:sz w:val="20"/>
        </w:rPr>
        <w:t>March 31, 2026 as filed with the Securities and Exchange Commission on the date hereof (the “Periodic Report”), I, Ryan Hummer, Chief Executive Officer and Director of the Company, certify, pursuant to 18 U.S.C. Section 1350, as adopted pursuant to Section 906 of the Sarbanes 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Periodic Report containing the financial statements fully complies with the requirements of Section 13(a) or 15(d) of the Securities Exchange Act of 1934, as amended (15 U.S.C. 78m or 78o(d));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205"/>
        <w:gridCol w:w="1985"/>
        <w:gridCol w:w="60"/>
      </w:tblGrid>
      <w:tr>
        <w:trPr/>
        <w:tc>
          <w:tcPr>
            <w:tcW w:w="1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29" w:name="led525677F2024191707445405422"/>
            <w:bookmarkEnd w:id="29"/>
            <w:r>
              <w:rPr>
                <w:rFonts w:ascii="Times New Roman" w:hAnsi="Times New Roman"/>
                <w:caps w:val="false"/>
                <w:smallCaps w:val="false"/>
                <w:sz w:val="20"/>
              </w:rPr>
              <w:t>April 30, 2026</w:t>
            </w:r>
          </w:p>
        </w:tc>
        <w:tc>
          <w:tcPr>
            <w:tcW w:w="19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Ryan Hummer</w:t>
            </w:r>
          </w:p>
        </w:tc>
        <w:tc>
          <w:tcPr>
            <w:tcW w:w="6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Ryan Hummer</w:t>
            </w:r>
          </w:p>
        </w:tc>
        <w:tc>
          <w:tcPr>
            <w:tcW w:w="6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0" w:name="ex_930614.htm"/>
      <w:bookmarkStart w:id="31" w:name="ksex_930614"/>
      <w:bookmarkEnd w:id="30"/>
      <w:bookmarkEnd w:id="31"/>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w:t>
      </w:r>
      <w:r>
        <w:rPr>
          <w:rFonts w:ascii="Times New Roman" w:hAnsi="Times New Roman"/>
          <w:caps w:val="false"/>
          <w:smallCaps w:val="false"/>
          <w:sz w:val="20"/>
        </w:rPr>
        <w:br/>
      </w:r>
      <w:r>
        <w:rPr>
          <w:rFonts w:ascii="Times New Roman" w:hAnsi="Times New Roman"/>
          <w:b/>
          <w:caps w:val="false"/>
          <w:smallCaps w:val="false"/>
          <w:sz w:val="20"/>
        </w:rPr>
        <w:t>CHIEF FINANCIAL OFFICER UNDER 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w:t>
      </w:r>
      <w:r>
        <w:rPr>
          <w:rFonts w:ascii="Times New Roman" w:hAnsi="Times New Roman"/>
          <w:caps w:val="false"/>
          <w:smallCaps w:val="false"/>
          <w:sz w:val="20"/>
        </w:rPr>
        <w:br/>
      </w:r>
      <w:r>
        <w:rPr>
          <w:rFonts w:ascii="Times New Roman" w:hAnsi="Times New Roman"/>
          <w:b/>
          <w:caps w:val="false"/>
          <w:smallCaps w:val="false"/>
          <w:sz w:val="20"/>
        </w:rPr>
        <w:t xml:space="preserve">SARBANES OXLEY ACT OF 2002, 18 U.S.C. </w:t>
      </w:r>
      <w:r>
        <w:rPr>
          <w:rFonts w:ascii="Times New Roman" w:hAnsi="Times New Roman"/>
          <w:caps w:val="false"/>
          <w:smallCaps w:val="false"/>
          <w:sz w:val="20"/>
        </w:rPr>
        <w:t xml:space="preserve">§ </w:t>
      </w:r>
      <w:r>
        <w:rPr>
          <w:rFonts w:ascii="Times New Roman" w:hAnsi="Times New Roman"/>
          <w:b/>
          <w:caps w:val="false"/>
          <w:smallCaps w:val="false"/>
          <w:sz w:val="20"/>
        </w:rPr>
        <w:t>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NCS Multistage Holdings, Inc. (the “Company”) on Form 10-Q for the period ended </w:t>
      </w:r>
      <w:bookmarkStart w:id="32" w:name="led525677F2024191707445428638"/>
      <w:bookmarkEnd w:id="32"/>
      <w:r>
        <w:rPr>
          <w:rFonts w:ascii="Times New Roman" w:hAnsi="Times New Roman"/>
          <w:caps w:val="false"/>
          <w:smallCaps w:val="false"/>
          <w:sz w:val="20"/>
        </w:rPr>
        <w:t>March 31, 2026 as filed with the Securities and Exchange Commission on the date hereof (the “Periodic Report”), I, Mike Morrison, Chief Financial Officer of the Company, certify, pursuant to 18 U.S.C. Section 1350, as adopted pursuant to Section 906 of the Sarbanes 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Periodic Report containing the financial statements fully complies with the requirements of Section 13(a) or 15(d) of the Securities Exchange Act of 1934, as amended (15 U.S.C. 78m or 78o(d));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205"/>
        <w:gridCol w:w="3020"/>
        <w:gridCol w:w="60"/>
      </w:tblGrid>
      <w:tr>
        <w:trPr/>
        <w:tc>
          <w:tcPr>
            <w:tcW w:w="1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33" w:name="led525677F2024191707445434230"/>
            <w:bookmarkEnd w:id="33"/>
            <w:r>
              <w:rPr>
                <w:rFonts w:ascii="Times New Roman" w:hAnsi="Times New Roman"/>
                <w:caps w:val="false"/>
                <w:smallCaps w:val="false"/>
                <w:sz w:val="20"/>
              </w:rPr>
              <w:t>April 30, 2026</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Mike Morrison</w:t>
            </w:r>
          </w:p>
        </w:tc>
        <w:tc>
          <w:tcPr>
            <w:tcW w:w="6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Morrison</w:t>
            </w:r>
          </w:p>
        </w:tc>
        <w:tc>
          <w:tcPr>
            <w:tcW w:w="6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16932</Words>
  <Characters>94244</Characters>
  <CharactersWithSpaces>112781</CharactersWithSpaces>
  <Paragraphs>5564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