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1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159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MORRISON MICHAEL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84" w:lineRule="auto"/>
        <w:rPr>
          <w:sz w:val="20"/>
          <w:szCs w:val="20"/>
          <w:color w:val="auto"/>
        </w:rPr>
      </w:pPr>
      <w:r>
        <w:rPr>
          <w:rFonts w:ascii="Times New Roman" w:cs="Times New Roman" w:eastAsia="Times New Roman" w:hAnsi="Times New Roman"/>
          <w:sz w:val="16"/>
          <w:szCs w:val="16"/>
          <w:color w:val="0000FF"/>
        </w:rPr>
        <w:t>C/O NCS MULTISTAGE HOLDINGS, INC. 19350 STATE HIGHWAY 249, SUITE 600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77070</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NCS Multistage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NCSM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440" w:type="dxa"/>
            <w:vAlign w:val="bottom"/>
            <w:tcBorders>
              <w:top w:val="single" w:sz="8" w:color="0000EE"/>
            </w:tcBorders>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4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CFO &amp; Treasurer</w:t>
            </w:r>
          </w:p>
        </w:tc>
        <w:tc>
          <w:tcPr>
            <w:tcW w:w="0" w:type="dxa"/>
            <w:vAlign w:val="bottom"/>
          </w:tcPr>
          <w:p>
            <w:pPr>
              <w:spacing w:after="0"/>
              <w:rPr>
                <w:sz w:val="1"/>
                <w:szCs w:val="1"/>
                <w:color w:val="auto"/>
              </w:rPr>
            </w:pPr>
          </w:p>
        </w:tc>
      </w:tr>
      <w:tr>
        <w:trPr>
          <w:trHeight w:val="219"/>
        </w:trPr>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11/01/2024</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11/01/2024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1,879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9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7,056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11/01/2024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1,879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5,177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11/01/2024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13"/>
                <w:szCs w:val="13"/>
                <w:color w:val="0000FF"/>
                <w:w w:val="84"/>
              </w:rPr>
              <w:t>D</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line="312" w:lineRule="exact"/>
              <w:rPr>
                <w:sz w:val="20"/>
                <w:szCs w:val="20"/>
                <w:color w:val="auto"/>
              </w:rPr>
            </w:pPr>
            <w:r>
              <w:rPr>
                <w:rFonts w:ascii="Times New Roman" w:cs="Times New Roman" w:eastAsia="Times New Roman" w:hAnsi="Times New Roman"/>
                <w:sz w:val="33"/>
                <w:szCs w:val="33"/>
                <w:color w:val="0000FF"/>
                <w:w w:val="78"/>
                <w:vertAlign w:val="subscript"/>
              </w:rPr>
              <w:t>458</w:t>
            </w:r>
            <w:r>
              <w:rPr>
                <w:rFonts w:ascii="Times New Roman" w:cs="Times New Roman" w:eastAsia="Times New Roman" w:hAnsi="Times New Roman"/>
                <w:sz w:val="11"/>
                <w:szCs w:val="11"/>
                <w:color w:val="008000"/>
                <w:w w:val="78"/>
              </w:rPr>
              <w:t>(2)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4,719</w:t>
            </w:r>
            <w:r>
              <w:rPr>
                <w:rFonts w:ascii="Times New Roman" w:cs="Times New Roman" w:eastAsia="Times New Roman" w:hAnsi="Times New Roman"/>
                <w:sz w:val="21"/>
                <w:szCs w:val="21"/>
                <w:color w:val="008000"/>
                <w:w w:val="95"/>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1,879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11/01/2024</w:t>
            </w:r>
          </w:p>
        </w:tc>
        <w:tc>
          <w:tcPr>
            <w:tcW w:w="1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1,879</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0000FF"/>
              </w:rPr>
              <w:t>13,573</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Equivalent stock units vested on November 1, 2024 and settled for cash.</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surrendered to satisfy the tax obligations related to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1,877 restricted stock units which vest on November 1, 2025.</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equivalent stock units settle in cash and represent the economic equivalent of one share of common stock, provided that the amount of cash settled for any equivalent stock unit will not exceed the maximum payout established by the Compensation, Nominating and Governance Committee.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1,877 equivalent stock units which vest on November 1, 2025 and 11,696 equivalent stock units which vest in three equal annual installments beginning on February 28, 2025.</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Ori Lev, attorney-in-fact</w:t>
            </w:r>
          </w:p>
        </w:tc>
        <w:tc>
          <w:tcPr>
            <w:tcW w:w="3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11/05/2024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8756" TargetMode="External"/><Relationship Id="rId14" Type="http://schemas.openxmlformats.org/officeDocument/2006/relationships/hyperlink" Target="http://www.sec.gov/cgi-bin/browse-edgar?action=getcompany&amp;CIK=00016924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2024-11-05T11:57:37Z</dcterms:created>
  <dcterms:modified xsi:type="dcterms:W3CDTF">2024-11-05T11:57:37Z</dcterms:modified>
</cp:coreProperties>
</file>